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0F0B" w:rsidRDefault="004F0F0B">
      <w:pPr>
        <w:shd w:val="clear" w:color="auto" w:fill="FFFFFF" w:themeFill="background1"/>
      </w:pPr>
      <w:bookmarkStart w:id="0" w:name="_GoBack"/>
      <w:bookmarkEnd w:id="0"/>
    </w:p>
    <w:p w:rsidR="004F0F0B" w:rsidRDefault="000535AB">
      <w:pPr>
        <w:pStyle w:val="5"/>
        <w:keepLines/>
        <w:suppressLineNumbers/>
        <w:shd w:val="clear" w:color="auto" w:fill="FFFFFF" w:themeFill="background1"/>
        <w:tabs>
          <w:tab w:val="clear" w:pos="3119"/>
          <w:tab w:val="left" w:pos="-709"/>
        </w:tabs>
        <w:ind w:left="0"/>
        <w:jc w:val="center"/>
        <w:rPr>
          <w:b/>
          <w:szCs w:val="28"/>
        </w:rPr>
      </w:pPr>
      <w:r>
        <w:rPr>
          <w:b/>
          <w:szCs w:val="28"/>
        </w:rPr>
        <w:t xml:space="preserve">ПРЕДВАРИТЕЛЬНЫЕ ИТОГИ СОЦИАЛЬНО-ЭКОНОМИЧЕСКОГО РАЗВИТИЯ ЛЕНИНГРАДСКОЙ ОБЛАСТИ </w:t>
      </w:r>
    </w:p>
    <w:p w:rsidR="004F0F0B" w:rsidRDefault="000535AB">
      <w:pPr>
        <w:pStyle w:val="5"/>
        <w:keepLines/>
        <w:suppressLineNumbers/>
        <w:shd w:val="clear" w:color="auto" w:fill="FFFFFF" w:themeFill="background1"/>
        <w:tabs>
          <w:tab w:val="clear" w:pos="3119"/>
          <w:tab w:val="left" w:pos="-709"/>
        </w:tabs>
        <w:ind w:left="0"/>
        <w:jc w:val="center"/>
      </w:pPr>
      <w:r>
        <w:rPr>
          <w:b/>
          <w:szCs w:val="28"/>
        </w:rPr>
        <w:t>ЗА ЯНВАРЬ-МАЙ 2026 ГОДА</w:t>
      </w:r>
    </w:p>
    <w:p w:rsidR="004F0F0B" w:rsidRDefault="004F0F0B">
      <w:pPr>
        <w:pStyle w:val="32"/>
        <w:shd w:val="clear" w:color="auto" w:fill="FFFFFF" w:themeFill="background1"/>
        <w:spacing w:after="0"/>
        <w:ind w:firstLine="709"/>
        <w:jc w:val="both"/>
        <w:rPr>
          <w:sz w:val="28"/>
          <w:szCs w:val="28"/>
        </w:rPr>
      </w:pPr>
    </w:p>
    <w:p w:rsidR="004F0F0B" w:rsidRDefault="000535AB">
      <w:pPr>
        <w:spacing w:line="228" w:lineRule="auto"/>
        <w:ind w:firstLine="709"/>
        <w:jc w:val="both"/>
        <w:rPr>
          <w:sz w:val="28"/>
          <w:szCs w:val="28"/>
        </w:rPr>
      </w:pPr>
      <w:r>
        <w:rPr>
          <w:sz w:val="28"/>
          <w:szCs w:val="28"/>
        </w:rPr>
        <w:t>В январе-мае 2026 года по отдельным экономическим показателям превышен уровень января-мая 2025 года: в обороте организаций, в сфере телекоммуникаций, в производстве продукции сельского хозяйства, в объеме платных услуг населению, в обороте розничной  торговли, в обороте общественного питания.</w:t>
      </w:r>
    </w:p>
    <w:p w:rsidR="004F0F0B" w:rsidRDefault="000535AB">
      <w:pPr>
        <w:spacing w:line="228" w:lineRule="auto"/>
        <w:ind w:firstLine="709"/>
        <w:jc w:val="both"/>
        <w:rPr>
          <w:sz w:val="28"/>
          <w:szCs w:val="28"/>
        </w:rPr>
      </w:pPr>
      <w:r>
        <w:rPr>
          <w:sz w:val="28"/>
          <w:szCs w:val="28"/>
        </w:rPr>
        <w:t xml:space="preserve">  Снижение пришлось на индекс промышленного производства, объем работ по виду деятельности «строительство», ввод в действие жилых домов, объем услуг по транспортировке и хранению, обороте оптовой торговли.</w:t>
      </w:r>
    </w:p>
    <w:p w:rsidR="004F0F0B" w:rsidRDefault="000535AB">
      <w:pPr>
        <w:tabs>
          <w:tab w:val="left" w:pos="708"/>
          <w:tab w:val="left" w:pos="1418"/>
        </w:tabs>
        <w:ind w:firstLine="709"/>
        <w:jc w:val="both"/>
        <w:rPr>
          <w:sz w:val="28"/>
          <w:szCs w:val="28"/>
          <w:highlight w:val="yellow"/>
        </w:rPr>
      </w:pPr>
      <w:r>
        <w:rPr>
          <w:b/>
          <w:i/>
          <w:sz w:val="28"/>
          <w:szCs w:val="28"/>
          <w:highlight w:val="white"/>
        </w:rPr>
        <w:t xml:space="preserve">Объем отгруженных товаров собственного производства, выполненных работ и услуг </w:t>
      </w:r>
      <w:r>
        <w:rPr>
          <w:sz w:val="28"/>
          <w:szCs w:val="28"/>
          <w:highlight w:val="white"/>
        </w:rPr>
        <w:t xml:space="preserve">по всем основным видам промышленной деятельности в январе-мае 2026 года составил </w:t>
      </w:r>
      <w:r>
        <w:rPr>
          <w:b/>
          <w:bCs/>
          <w:sz w:val="28"/>
          <w:szCs w:val="28"/>
          <w:highlight w:val="white"/>
        </w:rPr>
        <w:t>970 095,0</w:t>
      </w:r>
      <w:r>
        <w:rPr>
          <w:sz w:val="28"/>
          <w:szCs w:val="28"/>
          <w:highlight w:val="white"/>
        </w:rPr>
        <w:t xml:space="preserve"> млн рублей или </w:t>
      </w:r>
      <w:r>
        <w:rPr>
          <w:b/>
          <w:bCs/>
          <w:sz w:val="28"/>
          <w:szCs w:val="28"/>
          <w:highlight w:val="white"/>
        </w:rPr>
        <w:t>96,1%</w:t>
      </w:r>
      <w:r>
        <w:rPr>
          <w:sz w:val="28"/>
          <w:szCs w:val="28"/>
          <w:highlight w:val="white"/>
        </w:rPr>
        <w:t xml:space="preserve"> к уровню января-мая 2025 года в действующих ценах. </w:t>
      </w:r>
    </w:p>
    <w:p w:rsidR="004F0F0B" w:rsidRDefault="000535AB">
      <w:pPr>
        <w:tabs>
          <w:tab w:val="left" w:pos="708"/>
          <w:tab w:val="left" w:pos="1418"/>
        </w:tabs>
        <w:ind w:firstLine="709"/>
        <w:jc w:val="both"/>
        <w:rPr>
          <w:sz w:val="28"/>
          <w:szCs w:val="28"/>
          <w:highlight w:val="white"/>
        </w:rPr>
      </w:pPr>
      <w:r>
        <w:rPr>
          <w:b/>
          <w:bCs/>
          <w:i/>
          <w:iCs/>
          <w:sz w:val="28"/>
          <w:szCs w:val="28"/>
          <w:highlight w:val="white"/>
        </w:rPr>
        <w:t>Индекс промышленного производства</w:t>
      </w:r>
      <w:r>
        <w:rPr>
          <w:i/>
          <w:iCs/>
          <w:sz w:val="28"/>
          <w:szCs w:val="28"/>
          <w:highlight w:val="white"/>
        </w:rPr>
        <w:t xml:space="preserve"> </w:t>
      </w:r>
      <w:r>
        <w:rPr>
          <w:iCs/>
          <w:sz w:val="28"/>
          <w:szCs w:val="28"/>
          <w:highlight w:val="white"/>
        </w:rPr>
        <w:t>по полному кругу предприятий</w:t>
      </w:r>
      <w:r>
        <w:rPr>
          <w:sz w:val="28"/>
          <w:szCs w:val="28"/>
          <w:highlight w:val="white"/>
        </w:rPr>
        <w:t xml:space="preserve"> </w:t>
      </w:r>
      <w:r>
        <w:rPr>
          <w:sz w:val="28"/>
          <w:szCs w:val="28"/>
          <w:highlight w:val="white"/>
        </w:rPr>
        <w:br/>
        <w:t xml:space="preserve">к соответствующему периоду предыдущего года составил </w:t>
      </w:r>
      <w:r>
        <w:rPr>
          <w:b/>
          <w:bCs/>
          <w:sz w:val="28"/>
          <w:szCs w:val="28"/>
          <w:highlight w:val="white"/>
        </w:rPr>
        <w:t>90,8%.</w:t>
      </w:r>
    </w:p>
    <w:p w:rsidR="004F0F0B" w:rsidRDefault="004F0F0B">
      <w:pPr>
        <w:shd w:val="clear" w:color="auto" w:fill="FFFFFF" w:themeFill="background1"/>
        <w:spacing w:line="228" w:lineRule="auto"/>
        <w:ind w:firstLine="720"/>
        <w:jc w:val="both"/>
        <w:rPr>
          <w:sz w:val="28"/>
          <w:szCs w:val="28"/>
          <w:highlight w:val="yellow"/>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8"/>
        <w:gridCol w:w="3462"/>
        <w:gridCol w:w="2851"/>
      </w:tblGrid>
      <w:tr w:rsidR="004F0F0B">
        <w:trPr>
          <w:jc w:val="center"/>
        </w:trPr>
        <w:tc>
          <w:tcPr>
            <w:tcW w:w="3941" w:type="dxa"/>
            <w:tcBorders>
              <w:top w:val="single" w:sz="4" w:space="0" w:color="auto"/>
              <w:left w:val="single" w:sz="4" w:space="0" w:color="auto"/>
              <w:bottom w:val="single" w:sz="4" w:space="0" w:color="auto"/>
              <w:right w:val="single" w:sz="4" w:space="0" w:color="auto"/>
            </w:tcBorders>
          </w:tcPr>
          <w:p w:rsidR="004F0F0B" w:rsidRDefault="004F0F0B">
            <w:pPr>
              <w:spacing w:line="228" w:lineRule="auto"/>
              <w:jc w:val="both"/>
              <w:rPr>
                <w:sz w:val="24"/>
                <w:szCs w:val="24"/>
                <w:lang w:eastAsia="en-US"/>
              </w:rPr>
            </w:pPr>
          </w:p>
        </w:tc>
        <w:tc>
          <w:tcPr>
            <w:tcW w:w="3321" w:type="dxa"/>
            <w:tcBorders>
              <w:top w:val="single" w:sz="4" w:space="0" w:color="auto"/>
              <w:left w:val="single" w:sz="4" w:space="0" w:color="auto"/>
              <w:bottom w:val="single" w:sz="4" w:space="0" w:color="auto"/>
              <w:right w:val="single" w:sz="4" w:space="0" w:color="auto"/>
            </w:tcBorders>
          </w:tcPr>
          <w:p w:rsidR="004F0F0B" w:rsidRDefault="000535AB">
            <w:pPr>
              <w:spacing w:line="228" w:lineRule="auto"/>
              <w:jc w:val="center"/>
              <w:rPr>
                <w:sz w:val="24"/>
                <w:szCs w:val="24"/>
                <w:lang w:eastAsia="en-US"/>
              </w:rPr>
            </w:pPr>
            <w:r>
              <w:rPr>
                <w:sz w:val="24"/>
                <w:szCs w:val="24"/>
                <w:lang w:eastAsia="en-US"/>
              </w:rPr>
              <w:t>Объем отгруженных товаров собственного производства, выполненных работ и услуг, млн руб.</w:t>
            </w:r>
          </w:p>
        </w:tc>
        <w:tc>
          <w:tcPr>
            <w:tcW w:w="2735" w:type="dxa"/>
            <w:tcBorders>
              <w:top w:val="single" w:sz="4" w:space="0" w:color="auto"/>
              <w:left w:val="single" w:sz="4" w:space="0" w:color="auto"/>
              <w:bottom w:val="single" w:sz="4" w:space="0" w:color="auto"/>
              <w:right w:val="single" w:sz="4" w:space="0" w:color="auto"/>
            </w:tcBorders>
          </w:tcPr>
          <w:p w:rsidR="004F0F0B" w:rsidRDefault="000535AB">
            <w:pPr>
              <w:spacing w:line="228" w:lineRule="auto"/>
              <w:jc w:val="center"/>
              <w:rPr>
                <w:sz w:val="24"/>
                <w:szCs w:val="24"/>
                <w:lang w:eastAsia="en-US"/>
              </w:rPr>
            </w:pPr>
            <w:r>
              <w:rPr>
                <w:sz w:val="24"/>
                <w:szCs w:val="24"/>
                <w:lang w:eastAsia="en-US"/>
              </w:rPr>
              <w:t>Индекс промышленного производства к аналогичному периоду 2025 года,%</w:t>
            </w:r>
          </w:p>
        </w:tc>
      </w:tr>
      <w:tr w:rsidR="004F0F0B">
        <w:trPr>
          <w:jc w:val="center"/>
        </w:trPr>
        <w:tc>
          <w:tcPr>
            <w:tcW w:w="3941" w:type="dxa"/>
            <w:tcBorders>
              <w:top w:val="single" w:sz="4" w:space="0" w:color="auto"/>
              <w:left w:val="single" w:sz="4" w:space="0" w:color="auto"/>
              <w:bottom w:val="single" w:sz="4" w:space="0" w:color="auto"/>
              <w:right w:val="single" w:sz="4" w:space="0" w:color="auto"/>
            </w:tcBorders>
          </w:tcPr>
          <w:p w:rsidR="004F0F0B" w:rsidRDefault="000535AB">
            <w:pPr>
              <w:spacing w:line="228" w:lineRule="auto"/>
              <w:rPr>
                <w:sz w:val="24"/>
                <w:szCs w:val="24"/>
                <w:lang w:eastAsia="en-US"/>
              </w:rPr>
            </w:pPr>
            <w:r>
              <w:rPr>
                <w:sz w:val="24"/>
                <w:szCs w:val="24"/>
                <w:lang w:eastAsia="en-US"/>
              </w:rPr>
              <w:t>Добыча полезных ископаемых</w:t>
            </w:r>
          </w:p>
        </w:tc>
        <w:tc>
          <w:tcPr>
            <w:tcW w:w="3321" w:type="dxa"/>
            <w:tcBorders>
              <w:top w:val="single" w:sz="4" w:space="0" w:color="auto"/>
              <w:left w:val="single" w:sz="4" w:space="0" w:color="auto"/>
              <w:bottom w:val="single" w:sz="4" w:space="0" w:color="auto"/>
              <w:right w:val="single" w:sz="4" w:space="0" w:color="auto"/>
            </w:tcBorders>
            <w:vAlign w:val="center"/>
          </w:tcPr>
          <w:p w:rsidR="004F0F0B" w:rsidRDefault="000535AB">
            <w:pPr>
              <w:jc w:val="center"/>
              <w:rPr>
                <w:sz w:val="24"/>
                <w:szCs w:val="24"/>
              </w:rPr>
            </w:pPr>
            <w:r>
              <w:rPr>
                <w:sz w:val="24"/>
                <w:szCs w:val="24"/>
              </w:rPr>
              <w:t>23116,5</w:t>
            </w:r>
          </w:p>
        </w:tc>
        <w:tc>
          <w:tcPr>
            <w:tcW w:w="2735" w:type="dxa"/>
            <w:tcBorders>
              <w:top w:val="single" w:sz="4" w:space="0" w:color="auto"/>
              <w:left w:val="single" w:sz="4" w:space="0" w:color="auto"/>
              <w:bottom w:val="single" w:sz="4" w:space="0" w:color="auto"/>
              <w:right w:val="single" w:sz="4" w:space="0" w:color="auto"/>
            </w:tcBorders>
            <w:vAlign w:val="center"/>
          </w:tcPr>
          <w:p w:rsidR="004F0F0B" w:rsidRDefault="000535AB">
            <w:pPr>
              <w:jc w:val="center"/>
              <w:rPr>
                <w:sz w:val="24"/>
                <w:szCs w:val="24"/>
              </w:rPr>
            </w:pPr>
            <w:r>
              <w:rPr>
                <w:sz w:val="24"/>
                <w:szCs w:val="24"/>
              </w:rPr>
              <w:t>103,7</w:t>
            </w:r>
          </w:p>
        </w:tc>
      </w:tr>
      <w:tr w:rsidR="004F0F0B">
        <w:trPr>
          <w:jc w:val="center"/>
        </w:trPr>
        <w:tc>
          <w:tcPr>
            <w:tcW w:w="3941" w:type="dxa"/>
            <w:tcBorders>
              <w:top w:val="single" w:sz="4" w:space="0" w:color="auto"/>
              <w:left w:val="single" w:sz="4" w:space="0" w:color="auto"/>
              <w:bottom w:val="single" w:sz="4" w:space="0" w:color="auto"/>
              <w:right w:val="single" w:sz="4" w:space="0" w:color="auto"/>
            </w:tcBorders>
          </w:tcPr>
          <w:p w:rsidR="004F0F0B" w:rsidRDefault="000535AB">
            <w:pPr>
              <w:spacing w:line="228" w:lineRule="auto"/>
              <w:rPr>
                <w:sz w:val="24"/>
                <w:szCs w:val="24"/>
                <w:lang w:eastAsia="en-US"/>
              </w:rPr>
            </w:pPr>
            <w:r>
              <w:rPr>
                <w:sz w:val="24"/>
                <w:szCs w:val="24"/>
                <w:lang w:eastAsia="en-US"/>
              </w:rPr>
              <w:t>Обрабатывающие производства</w:t>
            </w:r>
          </w:p>
        </w:tc>
        <w:tc>
          <w:tcPr>
            <w:tcW w:w="3321" w:type="dxa"/>
            <w:tcBorders>
              <w:top w:val="single" w:sz="4" w:space="0" w:color="auto"/>
              <w:left w:val="single" w:sz="4" w:space="0" w:color="auto"/>
              <w:bottom w:val="single" w:sz="4" w:space="0" w:color="auto"/>
              <w:right w:val="single" w:sz="4" w:space="0" w:color="auto"/>
            </w:tcBorders>
            <w:vAlign w:val="center"/>
          </w:tcPr>
          <w:p w:rsidR="004F0F0B" w:rsidRDefault="000535AB">
            <w:pPr>
              <w:jc w:val="center"/>
              <w:rPr>
                <w:sz w:val="24"/>
                <w:szCs w:val="24"/>
              </w:rPr>
            </w:pPr>
            <w:r>
              <w:rPr>
                <w:sz w:val="24"/>
                <w:szCs w:val="24"/>
              </w:rPr>
              <w:t>795556,6</w:t>
            </w:r>
          </w:p>
        </w:tc>
        <w:tc>
          <w:tcPr>
            <w:tcW w:w="2735" w:type="dxa"/>
            <w:tcBorders>
              <w:top w:val="single" w:sz="4" w:space="0" w:color="auto"/>
              <w:left w:val="single" w:sz="4" w:space="0" w:color="auto"/>
              <w:bottom w:val="single" w:sz="4" w:space="0" w:color="auto"/>
              <w:right w:val="single" w:sz="4" w:space="0" w:color="auto"/>
            </w:tcBorders>
            <w:vAlign w:val="center"/>
          </w:tcPr>
          <w:p w:rsidR="004F0F0B" w:rsidRDefault="000535AB">
            <w:pPr>
              <w:jc w:val="center"/>
              <w:rPr>
                <w:sz w:val="24"/>
                <w:szCs w:val="24"/>
              </w:rPr>
            </w:pPr>
            <w:r>
              <w:rPr>
                <w:sz w:val="24"/>
                <w:szCs w:val="24"/>
              </w:rPr>
              <w:t>88,2</w:t>
            </w:r>
          </w:p>
        </w:tc>
      </w:tr>
      <w:tr w:rsidR="004F0F0B">
        <w:trPr>
          <w:jc w:val="center"/>
        </w:trPr>
        <w:tc>
          <w:tcPr>
            <w:tcW w:w="3941" w:type="dxa"/>
            <w:tcBorders>
              <w:top w:val="single" w:sz="4" w:space="0" w:color="auto"/>
              <w:left w:val="single" w:sz="4" w:space="0" w:color="auto"/>
              <w:bottom w:val="single" w:sz="4" w:space="0" w:color="auto"/>
              <w:right w:val="single" w:sz="4" w:space="0" w:color="auto"/>
            </w:tcBorders>
          </w:tcPr>
          <w:p w:rsidR="004F0F0B" w:rsidRDefault="000535AB">
            <w:pPr>
              <w:spacing w:line="228" w:lineRule="auto"/>
              <w:rPr>
                <w:sz w:val="24"/>
                <w:szCs w:val="24"/>
                <w:lang w:eastAsia="en-US"/>
              </w:rPr>
            </w:pPr>
            <w:r>
              <w:rPr>
                <w:sz w:val="24"/>
                <w:szCs w:val="24"/>
                <w:lang w:eastAsia="en-US"/>
              </w:rPr>
              <w:t>Обеспечение электрической энергией, газом и паром; кондиционирование воздуха</w:t>
            </w:r>
          </w:p>
        </w:tc>
        <w:tc>
          <w:tcPr>
            <w:tcW w:w="3321" w:type="dxa"/>
            <w:tcBorders>
              <w:top w:val="single" w:sz="4" w:space="0" w:color="auto"/>
              <w:left w:val="single" w:sz="4" w:space="0" w:color="auto"/>
              <w:bottom w:val="single" w:sz="4" w:space="0" w:color="auto"/>
              <w:right w:val="single" w:sz="4" w:space="0" w:color="auto"/>
            </w:tcBorders>
            <w:vAlign w:val="center"/>
          </w:tcPr>
          <w:p w:rsidR="004F0F0B" w:rsidRDefault="000535AB">
            <w:pPr>
              <w:jc w:val="center"/>
              <w:rPr>
                <w:sz w:val="24"/>
                <w:szCs w:val="24"/>
              </w:rPr>
            </w:pPr>
            <w:r>
              <w:rPr>
                <w:sz w:val="24"/>
                <w:szCs w:val="24"/>
              </w:rPr>
              <w:t>130443</w:t>
            </w:r>
          </w:p>
        </w:tc>
        <w:tc>
          <w:tcPr>
            <w:tcW w:w="2735" w:type="dxa"/>
            <w:tcBorders>
              <w:top w:val="single" w:sz="4" w:space="0" w:color="auto"/>
              <w:left w:val="single" w:sz="4" w:space="0" w:color="auto"/>
              <w:bottom w:val="single" w:sz="4" w:space="0" w:color="auto"/>
              <w:right w:val="single" w:sz="4" w:space="0" w:color="auto"/>
            </w:tcBorders>
            <w:vAlign w:val="center"/>
          </w:tcPr>
          <w:p w:rsidR="004F0F0B" w:rsidRDefault="000535AB">
            <w:pPr>
              <w:jc w:val="center"/>
              <w:rPr>
                <w:sz w:val="24"/>
                <w:szCs w:val="24"/>
              </w:rPr>
            </w:pPr>
            <w:r>
              <w:rPr>
                <w:sz w:val="24"/>
                <w:szCs w:val="24"/>
              </w:rPr>
              <w:t>103,5</w:t>
            </w:r>
          </w:p>
        </w:tc>
      </w:tr>
      <w:tr w:rsidR="004F0F0B">
        <w:trPr>
          <w:jc w:val="center"/>
        </w:trPr>
        <w:tc>
          <w:tcPr>
            <w:tcW w:w="3941" w:type="dxa"/>
            <w:tcBorders>
              <w:top w:val="single" w:sz="4" w:space="0" w:color="auto"/>
              <w:left w:val="single" w:sz="4" w:space="0" w:color="auto"/>
              <w:bottom w:val="single" w:sz="4" w:space="0" w:color="auto"/>
              <w:right w:val="single" w:sz="4" w:space="0" w:color="auto"/>
            </w:tcBorders>
          </w:tcPr>
          <w:p w:rsidR="004F0F0B" w:rsidRDefault="000535AB">
            <w:pPr>
              <w:spacing w:line="228" w:lineRule="auto"/>
              <w:rPr>
                <w:sz w:val="24"/>
                <w:szCs w:val="24"/>
                <w:lang w:eastAsia="en-US"/>
              </w:rPr>
            </w:pPr>
            <w:r>
              <w:rPr>
                <w:sz w:val="24"/>
                <w:szCs w:val="24"/>
                <w:lang w:eastAsia="en-US"/>
              </w:rPr>
              <w:t>Водоснабжение; водоотведение, организация сбора и утилизации отходов, деятельность по ликвидации загрязнений</w:t>
            </w:r>
          </w:p>
        </w:tc>
        <w:tc>
          <w:tcPr>
            <w:tcW w:w="3321" w:type="dxa"/>
            <w:tcBorders>
              <w:top w:val="single" w:sz="4" w:space="0" w:color="auto"/>
              <w:left w:val="single" w:sz="4" w:space="0" w:color="auto"/>
              <w:bottom w:val="single" w:sz="4" w:space="0" w:color="auto"/>
              <w:right w:val="single" w:sz="4" w:space="0" w:color="auto"/>
            </w:tcBorders>
            <w:vAlign w:val="center"/>
          </w:tcPr>
          <w:p w:rsidR="004F0F0B" w:rsidRDefault="000535AB">
            <w:pPr>
              <w:jc w:val="center"/>
              <w:rPr>
                <w:sz w:val="24"/>
                <w:szCs w:val="24"/>
              </w:rPr>
            </w:pPr>
            <w:r>
              <w:rPr>
                <w:sz w:val="24"/>
                <w:szCs w:val="24"/>
              </w:rPr>
              <w:t>20978,9</w:t>
            </w:r>
          </w:p>
        </w:tc>
        <w:tc>
          <w:tcPr>
            <w:tcW w:w="2735" w:type="dxa"/>
            <w:tcBorders>
              <w:top w:val="single" w:sz="4" w:space="0" w:color="auto"/>
              <w:left w:val="single" w:sz="4" w:space="0" w:color="auto"/>
              <w:bottom w:val="single" w:sz="4" w:space="0" w:color="auto"/>
              <w:right w:val="single" w:sz="4" w:space="0" w:color="auto"/>
            </w:tcBorders>
            <w:vAlign w:val="center"/>
          </w:tcPr>
          <w:p w:rsidR="004F0F0B" w:rsidRDefault="000535AB">
            <w:pPr>
              <w:jc w:val="center"/>
              <w:rPr>
                <w:sz w:val="24"/>
                <w:szCs w:val="24"/>
              </w:rPr>
            </w:pPr>
            <w:r>
              <w:rPr>
                <w:sz w:val="24"/>
                <w:szCs w:val="24"/>
              </w:rPr>
              <w:t>127,7</w:t>
            </w:r>
          </w:p>
        </w:tc>
      </w:tr>
    </w:tbl>
    <w:p w:rsidR="004F0F0B" w:rsidRDefault="004F0F0B">
      <w:pPr>
        <w:shd w:val="clear" w:color="auto" w:fill="FFFFFF" w:themeFill="background1"/>
        <w:spacing w:line="228" w:lineRule="auto"/>
        <w:ind w:firstLine="720"/>
        <w:jc w:val="both"/>
        <w:rPr>
          <w:b/>
          <w:sz w:val="28"/>
          <w:szCs w:val="28"/>
          <w:highlight w:val="yellow"/>
          <w:u w:val="single"/>
        </w:rPr>
      </w:pPr>
    </w:p>
    <w:p w:rsidR="004F0F0B" w:rsidRDefault="000535AB">
      <w:pPr>
        <w:spacing w:line="228" w:lineRule="auto"/>
        <w:ind w:firstLine="720"/>
        <w:jc w:val="both"/>
        <w:rPr>
          <w:b/>
          <w:sz w:val="28"/>
          <w:szCs w:val="28"/>
        </w:rPr>
      </w:pPr>
      <w:r>
        <w:rPr>
          <w:b/>
          <w:i/>
          <w:sz w:val="28"/>
          <w:szCs w:val="28"/>
        </w:rPr>
        <w:t>Добыча полезных ископаемых.</w:t>
      </w:r>
      <w:r>
        <w:rPr>
          <w:b/>
          <w:sz w:val="28"/>
          <w:szCs w:val="28"/>
        </w:rPr>
        <w:t xml:space="preserve"> </w:t>
      </w:r>
    </w:p>
    <w:p w:rsidR="004F0F0B" w:rsidRDefault="000535AB">
      <w:pPr>
        <w:spacing w:line="228" w:lineRule="auto"/>
        <w:ind w:firstLine="720"/>
        <w:jc w:val="both"/>
        <w:rPr>
          <w:sz w:val="28"/>
          <w:szCs w:val="28"/>
          <w:highlight w:val="white"/>
        </w:rPr>
      </w:pPr>
      <w:r>
        <w:rPr>
          <w:sz w:val="28"/>
          <w:szCs w:val="28"/>
          <w:highlight w:val="white"/>
        </w:rPr>
        <w:t>Объем</w:t>
      </w:r>
      <w:r>
        <w:rPr>
          <w:b/>
          <w:sz w:val="28"/>
          <w:szCs w:val="28"/>
          <w:highlight w:val="white"/>
        </w:rPr>
        <w:t xml:space="preserve"> </w:t>
      </w:r>
      <w:r>
        <w:rPr>
          <w:sz w:val="28"/>
          <w:szCs w:val="28"/>
          <w:highlight w:val="white"/>
        </w:rPr>
        <w:t xml:space="preserve">добычи песка природного составил </w:t>
      </w:r>
      <w:r>
        <w:rPr>
          <w:b/>
          <w:bCs/>
          <w:sz w:val="28"/>
          <w:szCs w:val="28"/>
          <w:highlight w:val="white"/>
        </w:rPr>
        <w:t>9,4 млн м</w:t>
      </w:r>
      <w:r>
        <w:rPr>
          <w:b/>
          <w:bCs/>
          <w:sz w:val="28"/>
          <w:szCs w:val="28"/>
          <w:highlight w:val="white"/>
          <w:vertAlign w:val="superscript"/>
        </w:rPr>
        <w:t>3</w:t>
      </w:r>
      <w:r>
        <w:rPr>
          <w:b/>
          <w:bCs/>
          <w:sz w:val="28"/>
          <w:szCs w:val="28"/>
          <w:highlight w:val="white"/>
        </w:rPr>
        <w:t xml:space="preserve"> </w:t>
      </w:r>
      <w:r>
        <w:rPr>
          <w:sz w:val="28"/>
          <w:szCs w:val="28"/>
          <w:highlight w:val="white"/>
        </w:rPr>
        <w:t xml:space="preserve">или 100,8% к январю-маю 2025 года; гранул, крошки и порошка; гальки и гравия – </w:t>
      </w:r>
      <w:r>
        <w:rPr>
          <w:b/>
          <w:bCs/>
          <w:sz w:val="28"/>
          <w:szCs w:val="28"/>
          <w:highlight w:val="white"/>
        </w:rPr>
        <w:t>7,0 млн м</w:t>
      </w:r>
      <w:r>
        <w:rPr>
          <w:b/>
          <w:bCs/>
          <w:sz w:val="28"/>
          <w:szCs w:val="28"/>
          <w:highlight w:val="white"/>
          <w:vertAlign w:val="superscript"/>
        </w:rPr>
        <w:t>3</w:t>
      </w:r>
      <w:r>
        <w:rPr>
          <w:sz w:val="28"/>
          <w:szCs w:val="28"/>
          <w:highlight w:val="white"/>
        </w:rPr>
        <w:t xml:space="preserve"> или 93,1%.</w:t>
      </w:r>
    </w:p>
    <w:p w:rsidR="004F0F0B" w:rsidRDefault="004F0F0B">
      <w:pPr>
        <w:shd w:val="clear" w:color="auto" w:fill="FFFFFF" w:themeFill="background1"/>
        <w:spacing w:line="228" w:lineRule="auto"/>
        <w:ind w:firstLine="720"/>
        <w:jc w:val="both"/>
        <w:rPr>
          <w:b/>
          <w:i/>
          <w:sz w:val="28"/>
          <w:szCs w:val="28"/>
          <w:highlight w:val="yellow"/>
        </w:rPr>
      </w:pPr>
    </w:p>
    <w:p w:rsidR="004F0F0B" w:rsidRDefault="000535AB">
      <w:pPr>
        <w:shd w:val="clear" w:color="auto" w:fill="FFFFFF" w:themeFill="background1"/>
        <w:spacing w:line="228" w:lineRule="auto"/>
        <w:ind w:firstLine="720"/>
        <w:jc w:val="both"/>
        <w:rPr>
          <w:b/>
          <w:sz w:val="28"/>
          <w:szCs w:val="28"/>
        </w:rPr>
      </w:pPr>
      <w:r>
        <w:rPr>
          <w:b/>
          <w:i/>
          <w:sz w:val="28"/>
          <w:szCs w:val="28"/>
        </w:rPr>
        <w:t>Обрабатывающие производства</w:t>
      </w:r>
      <w:r>
        <w:rPr>
          <w:b/>
          <w:sz w:val="28"/>
          <w:szCs w:val="28"/>
        </w:rPr>
        <w:t xml:space="preserve">. </w:t>
      </w:r>
    </w:p>
    <w:p w:rsidR="004F0F0B" w:rsidRDefault="000535AB">
      <w:pPr>
        <w:spacing w:line="228" w:lineRule="auto"/>
        <w:ind w:firstLine="720"/>
        <w:jc w:val="both"/>
        <w:rPr>
          <w:sz w:val="28"/>
          <w:szCs w:val="28"/>
        </w:rPr>
      </w:pPr>
      <w:r>
        <w:rPr>
          <w:b/>
          <w:sz w:val="28"/>
          <w:szCs w:val="28"/>
          <w:u w:val="single"/>
        </w:rPr>
        <w:t>Рост производства</w:t>
      </w:r>
      <w:r>
        <w:rPr>
          <w:b/>
          <w:sz w:val="28"/>
          <w:szCs w:val="28"/>
        </w:rPr>
        <w:t xml:space="preserve"> </w:t>
      </w:r>
      <w:r>
        <w:rPr>
          <w:sz w:val="28"/>
          <w:szCs w:val="28"/>
        </w:rPr>
        <w:t>и</w:t>
      </w:r>
      <w:r>
        <w:rPr>
          <w:b/>
          <w:sz w:val="28"/>
          <w:szCs w:val="28"/>
        </w:rPr>
        <w:t xml:space="preserve"> </w:t>
      </w:r>
      <w:r>
        <w:rPr>
          <w:sz w:val="28"/>
          <w:szCs w:val="28"/>
        </w:rPr>
        <w:t>объем отгруженных товаров собственного производства,</w:t>
      </w:r>
      <w:r>
        <w:rPr>
          <w:b/>
          <w:sz w:val="28"/>
          <w:szCs w:val="28"/>
        </w:rPr>
        <w:t xml:space="preserve"> </w:t>
      </w:r>
      <w:r>
        <w:rPr>
          <w:sz w:val="28"/>
          <w:szCs w:val="28"/>
        </w:rPr>
        <w:t>выполненных работ и услуг в январе-мае 2026 года:</w:t>
      </w:r>
    </w:p>
    <w:p w:rsidR="004F0F0B" w:rsidRDefault="004F0F0B">
      <w:pPr>
        <w:spacing w:line="228" w:lineRule="auto"/>
        <w:ind w:firstLine="720"/>
        <w:jc w:val="both"/>
        <w:rPr>
          <w:sz w:val="28"/>
          <w:szCs w:val="28"/>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A0" w:firstRow="1" w:lastRow="0" w:firstColumn="1" w:lastColumn="0" w:noHBand="0" w:noVBand="1"/>
      </w:tblPr>
      <w:tblGrid>
        <w:gridCol w:w="4363"/>
        <w:gridCol w:w="2123"/>
        <w:gridCol w:w="2001"/>
        <w:gridCol w:w="1934"/>
      </w:tblGrid>
      <w:tr w:rsidR="004F0F0B">
        <w:trPr>
          <w:tblHeader/>
          <w:jc w:val="center"/>
        </w:trPr>
        <w:tc>
          <w:tcPr>
            <w:tcW w:w="4364" w:type="dxa"/>
            <w:vMerge w:val="restart"/>
            <w:tcBorders>
              <w:top w:val="single" w:sz="4" w:space="0" w:color="000000"/>
              <w:left w:val="single" w:sz="4" w:space="0" w:color="000000"/>
              <w:bottom w:val="single" w:sz="4" w:space="0" w:color="000000"/>
              <w:right w:val="single" w:sz="4" w:space="0" w:color="000000"/>
            </w:tcBorders>
            <w:vAlign w:val="center"/>
          </w:tcPr>
          <w:p w:rsidR="004F0F0B" w:rsidRDefault="000535AB">
            <w:pPr>
              <w:spacing w:line="228" w:lineRule="auto"/>
              <w:jc w:val="center"/>
              <w:rPr>
                <w:sz w:val="24"/>
                <w:szCs w:val="24"/>
                <w:highlight w:val="white"/>
              </w:rPr>
            </w:pPr>
            <w:r>
              <w:rPr>
                <w:sz w:val="24"/>
                <w:szCs w:val="24"/>
                <w:highlight w:val="white"/>
                <w:lang w:eastAsia="en-US"/>
              </w:rPr>
              <w:t>Виды обрабатывающих производств</w:t>
            </w:r>
          </w:p>
        </w:tc>
        <w:tc>
          <w:tcPr>
            <w:tcW w:w="2123" w:type="dxa"/>
            <w:vMerge w:val="restart"/>
            <w:tcBorders>
              <w:top w:val="single" w:sz="4" w:space="0" w:color="000000"/>
              <w:left w:val="single" w:sz="4" w:space="0" w:color="000000"/>
              <w:right w:val="single" w:sz="4" w:space="0" w:color="000000"/>
            </w:tcBorders>
            <w:vAlign w:val="center"/>
          </w:tcPr>
          <w:p w:rsidR="004F0F0B" w:rsidRDefault="000535AB">
            <w:pPr>
              <w:spacing w:line="228" w:lineRule="auto"/>
              <w:jc w:val="center"/>
              <w:rPr>
                <w:sz w:val="24"/>
                <w:szCs w:val="24"/>
                <w:highlight w:val="white"/>
              </w:rPr>
            </w:pPr>
            <w:r>
              <w:rPr>
                <w:sz w:val="24"/>
                <w:szCs w:val="24"/>
                <w:highlight w:val="white"/>
                <w:lang w:eastAsia="en-US"/>
              </w:rPr>
              <w:t>Индекс промышленного производства к соотв. периоду 2025 года,%</w:t>
            </w:r>
          </w:p>
        </w:tc>
        <w:tc>
          <w:tcPr>
            <w:tcW w:w="3935" w:type="dxa"/>
            <w:gridSpan w:val="2"/>
            <w:tcBorders>
              <w:top w:val="single" w:sz="4" w:space="0" w:color="000000"/>
              <w:left w:val="single" w:sz="4" w:space="0" w:color="000000"/>
              <w:bottom w:val="single" w:sz="4" w:space="0" w:color="000000"/>
              <w:right w:val="single" w:sz="4" w:space="0" w:color="000000"/>
            </w:tcBorders>
            <w:vAlign w:val="center"/>
          </w:tcPr>
          <w:p w:rsidR="004F0F0B" w:rsidRDefault="000535AB">
            <w:pPr>
              <w:spacing w:line="228" w:lineRule="auto"/>
              <w:jc w:val="center"/>
              <w:rPr>
                <w:sz w:val="24"/>
                <w:szCs w:val="24"/>
                <w:highlight w:val="white"/>
              </w:rPr>
            </w:pPr>
            <w:r>
              <w:rPr>
                <w:sz w:val="24"/>
                <w:szCs w:val="24"/>
                <w:highlight w:val="white"/>
                <w:lang w:eastAsia="en-US"/>
              </w:rPr>
              <w:t>Объем отгруженных товаров собственного производства, выполненных работ и услуг</w:t>
            </w:r>
          </w:p>
        </w:tc>
      </w:tr>
      <w:tr w:rsidR="004F0F0B">
        <w:trPr>
          <w:tblHeader/>
          <w:jc w:val="center"/>
        </w:trPr>
        <w:tc>
          <w:tcPr>
            <w:tcW w:w="4364" w:type="dxa"/>
            <w:vMerge/>
            <w:tcBorders>
              <w:top w:val="single" w:sz="4" w:space="0" w:color="000000"/>
              <w:left w:val="single" w:sz="4" w:space="0" w:color="000000"/>
              <w:bottom w:val="single" w:sz="4" w:space="0" w:color="000000"/>
              <w:right w:val="single" w:sz="4" w:space="0" w:color="000000"/>
            </w:tcBorders>
            <w:vAlign w:val="center"/>
          </w:tcPr>
          <w:p w:rsidR="004F0F0B" w:rsidRDefault="004F0F0B">
            <w:pPr>
              <w:rPr>
                <w:sz w:val="24"/>
                <w:szCs w:val="24"/>
                <w:highlight w:val="yellow"/>
                <w:lang w:eastAsia="en-US"/>
              </w:rPr>
            </w:pPr>
          </w:p>
        </w:tc>
        <w:tc>
          <w:tcPr>
            <w:tcW w:w="2123" w:type="dxa"/>
            <w:vMerge/>
            <w:tcBorders>
              <w:left w:val="single" w:sz="4" w:space="0" w:color="000000"/>
              <w:bottom w:val="single" w:sz="4" w:space="0" w:color="000000"/>
              <w:right w:val="single" w:sz="4" w:space="0" w:color="000000"/>
            </w:tcBorders>
          </w:tcPr>
          <w:p w:rsidR="004F0F0B" w:rsidRDefault="004F0F0B">
            <w:pPr>
              <w:spacing w:line="228" w:lineRule="auto"/>
              <w:jc w:val="center"/>
              <w:rPr>
                <w:sz w:val="24"/>
                <w:szCs w:val="24"/>
                <w:highlight w:val="yellow"/>
                <w:lang w:eastAsia="en-US"/>
              </w:rPr>
            </w:pPr>
          </w:p>
        </w:tc>
        <w:tc>
          <w:tcPr>
            <w:tcW w:w="2001" w:type="dxa"/>
            <w:tcBorders>
              <w:top w:val="single" w:sz="4" w:space="0" w:color="000000"/>
              <w:left w:val="single" w:sz="4" w:space="0" w:color="000000"/>
              <w:bottom w:val="single" w:sz="4" w:space="0" w:color="000000"/>
              <w:right w:val="single" w:sz="4" w:space="0" w:color="000000"/>
            </w:tcBorders>
            <w:vAlign w:val="center"/>
          </w:tcPr>
          <w:p w:rsidR="004F0F0B" w:rsidRDefault="000535AB">
            <w:pPr>
              <w:spacing w:line="228" w:lineRule="auto"/>
              <w:jc w:val="center"/>
              <w:rPr>
                <w:sz w:val="24"/>
                <w:szCs w:val="24"/>
                <w:highlight w:val="white"/>
              </w:rPr>
            </w:pPr>
            <w:r>
              <w:rPr>
                <w:sz w:val="24"/>
                <w:szCs w:val="24"/>
                <w:highlight w:val="white"/>
                <w:lang w:eastAsia="en-US"/>
              </w:rPr>
              <w:t>млн руб.</w:t>
            </w:r>
          </w:p>
        </w:tc>
        <w:tc>
          <w:tcPr>
            <w:tcW w:w="1934" w:type="dxa"/>
            <w:tcBorders>
              <w:top w:val="single" w:sz="4" w:space="0" w:color="000000"/>
              <w:left w:val="single" w:sz="4" w:space="0" w:color="000000"/>
              <w:bottom w:val="single" w:sz="4" w:space="0" w:color="000000"/>
              <w:right w:val="single" w:sz="4" w:space="0" w:color="000000"/>
            </w:tcBorders>
            <w:vAlign w:val="center"/>
          </w:tcPr>
          <w:p w:rsidR="004F0F0B" w:rsidRDefault="000535AB">
            <w:pPr>
              <w:spacing w:line="228" w:lineRule="auto"/>
              <w:jc w:val="center"/>
              <w:rPr>
                <w:sz w:val="24"/>
                <w:szCs w:val="24"/>
                <w:highlight w:val="white"/>
              </w:rPr>
            </w:pPr>
            <w:r>
              <w:rPr>
                <w:sz w:val="24"/>
                <w:szCs w:val="24"/>
                <w:highlight w:val="white"/>
                <w:lang w:eastAsia="en-US"/>
              </w:rPr>
              <w:t>к соотв. периоду 2025 года,%</w:t>
            </w:r>
          </w:p>
        </w:tc>
      </w:tr>
      <w:tr w:rsidR="004F0F0B">
        <w:trPr>
          <w:trHeight w:val="262"/>
          <w:jc w:val="center"/>
        </w:trPr>
        <w:tc>
          <w:tcPr>
            <w:tcW w:w="4364" w:type="dxa"/>
            <w:vMerge w:val="restart"/>
            <w:tcBorders>
              <w:top w:val="single" w:sz="4" w:space="0" w:color="000000"/>
              <w:left w:val="single" w:sz="4" w:space="0" w:color="000000"/>
              <w:bottom w:val="single" w:sz="4" w:space="0" w:color="000000"/>
              <w:right w:val="single" w:sz="4" w:space="0" w:color="000000"/>
            </w:tcBorders>
          </w:tcPr>
          <w:p w:rsidR="004F0F0B" w:rsidRDefault="000535AB">
            <w:pPr>
              <w:spacing w:line="228" w:lineRule="auto"/>
              <w:rPr>
                <w:sz w:val="24"/>
                <w:szCs w:val="24"/>
                <w:highlight w:val="white"/>
              </w:rPr>
            </w:pPr>
            <w:r>
              <w:rPr>
                <w:sz w:val="24"/>
                <w:szCs w:val="24"/>
                <w:highlight w:val="white"/>
                <w:lang w:eastAsia="en-US"/>
              </w:rPr>
              <w:t>в ремонте и монтаже машин и оборудования</w:t>
            </w:r>
          </w:p>
        </w:tc>
        <w:tc>
          <w:tcPr>
            <w:tcW w:w="2123" w:type="dxa"/>
            <w:vMerge w:val="restart"/>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155,8</w:t>
            </w:r>
          </w:p>
        </w:tc>
        <w:tc>
          <w:tcPr>
            <w:tcW w:w="2001" w:type="dxa"/>
            <w:vMerge w:val="restart"/>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13579,6</w:t>
            </w:r>
          </w:p>
        </w:tc>
        <w:tc>
          <w:tcPr>
            <w:tcW w:w="1934" w:type="dxa"/>
            <w:vMerge w:val="restart"/>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125,5</w:t>
            </w:r>
          </w:p>
        </w:tc>
      </w:tr>
      <w:tr w:rsidR="004F0F0B">
        <w:trPr>
          <w:jc w:val="center"/>
        </w:trPr>
        <w:tc>
          <w:tcPr>
            <w:tcW w:w="4364" w:type="dxa"/>
            <w:tcBorders>
              <w:top w:val="single" w:sz="4" w:space="0" w:color="000000"/>
              <w:left w:val="single" w:sz="4" w:space="0" w:color="000000"/>
              <w:bottom w:val="single" w:sz="4" w:space="0" w:color="000000"/>
              <w:right w:val="single" w:sz="4" w:space="0" w:color="000000"/>
            </w:tcBorders>
          </w:tcPr>
          <w:p w:rsidR="004F0F0B" w:rsidRDefault="000535AB">
            <w:pPr>
              <w:spacing w:line="228" w:lineRule="auto"/>
              <w:rPr>
                <w:sz w:val="24"/>
                <w:szCs w:val="24"/>
                <w:highlight w:val="white"/>
              </w:rPr>
            </w:pPr>
            <w:r>
              <w:rPr>
                <w:sz w:val="24"/>
                <w:szCs w:val="24"/>
                <w:highlight w:val="white"/>
                <w:lang w:eastAsia="en-US"/>
              </w:rPr>
              <w:t>в производстве резиновых и пластмассовых изделий</w:t>
            </w:r>
          </w:p>
        </w:tc>
        <w:tc>
          <w:tcPr>
            <w:tcW w:w="2123"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148,9</w:t>
            </w:r>
          </w:p>
        </w:tc>
        <w:tc>
          <w:tcPr>
            <w:tcW w:w="2001"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38163,6</w:t>
            </w:r>
          </w:p>
        </w:tc>
        <w:tc>
          <w:tcPr>
            <w:tcW w:w="1934"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102,7</w:t>
            </w:r>
          </w:p>
        </w:tc>
      </w:tr>
      <w:tr w:rsidR="004F0F0B">
        <w:trPr>
          <w:jc w:val="center"/>
        </w:trPr>
        <w:tc>
          <w:tcPr>
            <w:tcW w:w="4364" w:type="dxa"/>
            <w:tcBorders>
              <w:top w:val="single" w:sz="4" w:space="0" w:color="000000"/>
              <w:left w:val="single" w:sz="4" w:space="0" w:color="000000"/>
              <w:bottom w:val="single" w:sz="4" w:space="0" w:color="000000"/>
              <w:right w:val="single" w:sz="4" w:space="0" w:color="000000"/>
            </w:tcBorders>
            <w:vAlign w:val="center"/>
          </w:tcPr>
          <w:p w:rsidR="004F0F0B" w:rsidRDefault="000535AB">
            <w:pPr>
              <w:rPr>
                <w:sz w:val="24"/>
                <w:szCs w:val="24"/>
                <w:highlight w:val="white"/>
              </w:rPr>
            </w:pPr>
            <w:r>
              <w:rPr>
                <w:sz w:val="24"/>
                <w:szCs w:val="24"/>
                <w:highlight w:val="white"/>
                <w:lang w:eastAsia="en-US"/>
              </w:rPr>
              <w:t>в производстве прочих готовых изделий</w:t>
            </w:r>
          </w:p>
        </w:tc>
        <w:tc>
          <w:tcPr>
            <w:tcW w:w="2123"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131,9</w:t>
            </w:r>
          </w:p>
        </w:tc>
        <w:tc>
          <w:tcPr>
            <w:tcW w:w="2001"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3286,7</w:t>
            </w:r>
          </w:p>
        </w:tc>
        <w:tc>
          <w:tcPr>
            <w:tcW w:w="1934"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245,2</w:t>
            </w:r>
          </w:p>
        </w:tc>
      </w:tr>
      <w:tr w:rsidR="004F0F0B">
        <w:trPr>
          <w:jc w:val="center"/>
        </w:trPr>
        <w:tc>
          <w:tcPr>
            <w:tcW w:w="4364" w:type="dxa"/>
            <w:tcBorders>
              <w:top w:val="single" w:sz="4" w:space="0" w:color="000000"/>
              <w:left w:val="single" w:sz="4" w:space="0" w:color="000000"/>
              <w:bottom w:val="single" w:sz="4" w:space="0" w:color="000000"/>
              <w:right w:val="single" w:sz="4" w:space="0" w:color="000000"/>
            </w:tcBorders>
            <w:vAlign w:val="center"/>
          </w:tcPr>
          <w:p w:rsidR="004F0F0B" w:rsidRDefault="000535AB">
            <w:pPr>
              <w:rPr>
                <w:sz w:val="24"/>
                <w:szCs w:val="24"/>
                <w:highlight w:val="white"/>
              </w:rPr>
            </w:pPr>
            <w:r>
              <w:rPr>
                <w:sz w:val="24"/>
                <w:szCs w:val="24"/>
                <w:highlight w:val="white"/>
                <w:lang w:eastAsia="en-US"/>
              </w:rPr>
              <w:lastRenderedPageBreak/>
              <w:t>в производстве бумаги и бумажных изделий</w:t>
            </w:r>
          </w:p>
        </w:tc>
        <w:tc>
          <w:tcPr>
            <w:tcW w:w="2123"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105,3</w:t>
            </w:r>
          </w:p>
        </w:tc>
        <w:tc>
          <w:tcPr>
            <w:tcW w:w="2001"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54087,5</w:t>
            </w:r>
          </w:p>
        </w:tc>
        <w:tc>
          <w:tcPr>
            <w:tcW w:w="1934"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87,2</w:t>
            </w:r>
          </w:p>
        </w:tc>
      </w:tr>
      <w:tr w:rsidR="004F0F0B">
        <w:trPr>
          <w:trHeight w:val="262"/>
          <w:jc w:val="center"/>
        </w:trPr>
        <w:tc>
          <w:tcPr>
            <w:tcW w:w="4364" w:type="dxa"/>
            <w:vMerge w:val="restart"/>
            <w:tcBorders>
              <w:top w:val="single" w:sz="4" w:space="0" w:color="000000"/>
              <w:left w:val="single" w:sz="4" w:space="0" w:color="000000"/>
              <w:bottom w:val="single" w:sz="4" w:space="0" w:color="000000"/>
              <w:right w:val="single" w:sz="4" w:space="0" w:color="000000"/>
            </w:tcBorders>
            <w:vAlign w:val="center"/>
          </w:tcPr>
          <w:p w:rsidR="004F0F0B" w:rsidRDefault="000535AB">
            <w:pPr>
              <w:spacing w:line="228" w:lineRule="auto"/>
              <w:rPr>
                <w:sz w:val="24"/>
                <w:szCs w:val="24"/>
                <w:highlight w:val="white"/>
              </w:rPr>
            </w:pPr>
            <w:r>
              <w:rPr>
                <w:sz w:val="24"/>
                <w:szCs w:val="24"/>
                <w:highlight w:val="white"/>
                <w:lang w:eastAsia="en-US"/>
              </w:rPr>
              <w:t>в производстве лекарственных средств и материалов, применяемых в медицинских целях и ветеринарии</w:t>
            </w:r>
          </w:p>
        </w:tc>
        <w:tc>
          <w:tcPr>
            <w:tcW w:w="2123" w:type="dxa"/>
            <w:vMerge w:val="restart"/>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100,9</w:t>
            </w:r>
          </w:p>
        </w:tc>
        <w:tc>
          <w:tcPr>
            <w:tcW w:w="2001" w:type="dxa"/>
            <w:vMerge w:val="restart"/>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9570,9</w:t>
            </w:r>
          </w:p>
        </w:tc>
        <w:tc>
          <w:tcPr>
            <w:tcW w:w="1934" w:type="dxa"/>
            <w:vMerge w:val="restart"/>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106,4</w:t>
            </w:r>
          </w:p>
        </w:tc>
      </w:tr>
      <w:tr w:rsidR="004F0F0B">
        <w:trPr>
          <w:trHeight w:val="276"/>
          <w:jc w:val="center"/>
        </w:trPr>
        <w:tc>
          <w:tcPr>
            <w:tcW w:w="4364" w:type="dxa"/>
            <w:vMerge w:val="restart"/>
            <w:tcBorders>
              <w:top w:val="single" w:sz="4" w:space="0" w:color="000000"/>
              <w:left w:val="single" w:sz="4" w:space="0" w:color="000000"/>
              <w:bottom w:val="single" w:sz="4" w:space="0" w:color="000000"/>
              <w:right w:val="single" w:sz="4" w:space="0" w:color="000000"/>
            </w:tcBorders>
            <w:vAlign w:val="center"/>
          </w:tcPr>
          <w:p w:rsidR="004F0F0B" w:rsidRDefault="000535AB">
            <w:pPr>
              <w:rPr>
                <w:sz w:val="24"/>
                <w:szCs w:val="24"/>
                <w:highlight w:val="white"/>
              </w:rPr>
            </w:pPr>
            <w:r>
              <w:rPr>
                <w:sz w:val="24"/>
                <w:szCs w:val="24"/>
                <w:highlight w:val="white"/>
                <w:lang w:eastAsia="en-US"/>
              </w:rPr>
              <w:t>в производстве готовых металлических изделий, кроме машин и оборудования</w:t>
            </w:r>
          </w:p>
        </w:tc>
        <w:tc>
          <w:tcPr>
            <w:tcW w:w="2123" w:type="dxa"/>
            <w:vMerge w:val="restart"/>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100,4</w:t>
            </w:r>
          </w:p>
        </w:tc>
        <w:tc>
          <w:tcPr>
            <w:tcW w:w="2001" w:type="dxa"/>
            <w:vMerge w:val="restart"/>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34273,4</w:t>
            </w:r>
          </w:p>
        </w:tc>
        <w:tc>
          <w:tcPr>
            <w:tcW w:w="1934" w:type="dxa"/>
            <w:vMerge w:val="restart"/>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112,3</w:t>
            </w:r>
          </w:p>
        </w:tc>
      </w:tr>
    </w:tbl>
    <w:p w:rsidR="004F0F0B" w:rsidRDefault="004F0F0B">
      <w:pPr>
        <w:shd w:val="clear" w:color="auto" w:fill="FFFFFF" w:themeFill="background1"/>
        <w:spacing w:line="228" w:lineRule="auto"/>
        <w:jc w:val="both"/>
        <w:rPr>
          <w:b/>
          <w:sz w:val="28"/>
          <w:szCs w:val="28"/>
          <w:highlight w:val="yellow"/>
          <w:u w:val="single"/>
        </w:rPr>
      </w:pPr>
    </w:p>
    <w:p w:rsidR="004F0F0B" w:rsidRDefault="000535AB">
      <w:pPr>
        <w:spacing w:line="228" w:lineRule="auto"/>
        <w:ind w:firstLine="709"/>
        <w:jc w:val="both"/>
        <w:rPr>
          <w:sz w:val="28"/>
          <w:szCs w:val="28"/>
        </w:rPr>
      </w:pPr>
      <w:r>
        <w:rPr>
          <w:b/>
          <w:sz w:val="28"/>
          <w:szCs w:val="28"/>
          <w:u w:val="single"/>
        </w:rPr>
        <w:t>Снижение производства</w:t>
      </w:r>
      <w:r>
        <w:rPr>
          <w:b/>
          <w:sz w:val="28"/>
          <w:szCs w:val="28"/>
        </w:rPr>
        <w:t xml:space="preserve"> </w:t>
      </w:r>
      <w:r>
        <w:rPr>
          <w:sz w:val="28"/>
          <w:szCs w:val="28"/>
        </w:rPr>
        <w:t>и</w:t>
      </w:r>
      <w:r>
        <w:rPr>
          <w:b/>
          <w:sz w:val="28"/>
          <w:szCs w:val="28"/>
        </w:rPr>
        <w:t xml:space="preserve"> </w:t>
      </w:r>
      <w:r>
        <w:rPr>
          <w:sz w:val="28"/>
          <w:szCs w:val="28"/>
        </w:rPr>
        <w:t>объем отгруженных товаров собственного производства, выполненных работ и услуг в январе-мае 2026 года:</w:t>
      </w:r>
    </w:p>
    <w:p w:rsidR="004F0F0B" w:rsidRDefault="004F0F0B">
      <w:pPr>
        <w:shd w:val="clear" w:color="auto" w:fill="FFFFFF" w:themeFill="background1"/>
        <w:spacing w:line="228" w:lineRule="auto"/>
        <w:ind w:firstLine="709"/>
        <w:jc w:val="both"/>
        <w:rPr>
          <w:sz w:val="28"/>
          <w:szCs w:val="28"/>
          <w:highlight w:val="yellow"/>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A0" w:firstRow="1" w:lastRow="0" w:firstColumn="1" w:lastColumn="0" w:noHBand="0" w:noVBand="1"/>
      </w:tblPr>
      <w:tblGrid>
        <w:gridCol w:w="4463"/>
        <w:gridCol w:w="2026"/>
        <w:gridCol w:w="1899"/>
        <w:gridCol w:w="2033"/>
      </w:tblGrid>
      <w:tr w:rsidR="004F0F0B">
        <w:trPr>
          <w:trHeight w:val="733"/>
          <w:tblHeader/>
          <w:jc w:val="center"/>
        </w:trPr>
        <w:tc>
          <w:tcPr>
            <w:tcW w:w="4464" w:type="dxa"/>
            <w:vMerge w:val="restart"/>
            <w:tcBorders>
              <w:top w:val="single" w:sz="4" w:space="0" w:color="000000"/>
              <w:left w:val="single" w:sz="4" w:space="0" w:color="000000"/>
              <w:bottom w:val="single" w:sz="4" w:space="0" w:color="000000"/>
              <w:right w:val="single" w:sz="4" w:space="0" w:color="000000"/>
            </w:tcBorders>
            <w:vAlign w:val="center"/>
          </w:tcPr>
          <w:p w:rsidR="004F0F0B" w:rsidRDefault="000535AB">
            <w:pPr>
              <w:spacing w:line="228" w:lineRule="auto"/>
              <w:jc w:val="center"/>
              <w:rPr>
                <w:sz w:val="24"/>
                <w:szCs w:val="24"/>
                <w:highlight w:val="white"/>
              </w:rPr>
            </w:pPr>
            <w:r>
              <w:rPr>
                <w:sz w:val="24"/>
                <w:szCs w:val="24"/>
                <w:highlight w:val="white"/>
                <w:lang w:eastAsia="en-US"/>
              </w:rPr>
              <w:t>Виды обрабатывающих производств</w:t>
            </w:r>
          </w:p>
        </w:tc>
        <w:tc>
          <w:tcPr>
            <w:tcW w:w="2026" w:type="dxa"/>
            <w:vMerge w:val="restart"/>
            <w:tcBorders>
              <w:top w:val="single" w:sz="4" w:space="0" w:color="000000"/>
              <w:left w:val="single" w:sz="4" w:space="0" w:color="000000"/>
              <w:right w:val="single" w:sz="4" w:space="0" w:color="000000"/>
            </w:tcBorders>
            <w:vAlign w:val="center"/>
          </w:tcPr>
          <w:p w:rsidR="004F0F0B" w:rsidRDefault="000535AB">
            <w:pPr>
              <w:spacing w:line="228" w:lineRule="auto"/>
              <w:jc w:val="center"/>
              <w:rPr>
                <w:sz w:val="24"/>
                <w:szCs w:val="24"/>
                <w:highlight w:val="white"/>
              </w:rPr>
            </w:pPr>
            <w:r>
              <w:rPr>
                <w:sz w:val="24"/>
                <w:szCs w:val="24"/>
                <w:highlight w:val="white"/>
                <w:lang w:eastAsia="en-US"/>
              </w:rPr>
              <w:t>Индекс промышленного производства к соотв. периоду 2025 года</w:t>
            </w:r>
          </w:p>
        </w:tc>
        <w:tc>
          <w:tcPr>
            <w:tcW w:w="3932" w:type="dxa"/>
            <w:gridSpan w:val="2"/>
            <w:tcBorders>
              <w:top w:val="single" w:sz="4" w:space="0" w:color="000000"/>
              <w:left w:val="single" w:sz="4" w:space="0" w:color="000000"/>
              <w:bottom w:val="single" w:sz="4" w:space="0" w:color="000000"/>
              <w:right w:val="single" w:sz="4" w:space="0" w:color="000000"/>
            </w:tcBorders>
            <w:vAlign w:val="center"/>
          </w:tcPr>
          <w:p w:rsidR="004F0F0B" w:rsidRDefault="000535AB">
            <w:pPr>
              <w:spacing w:line="228" w:lineRule="auto"/>
              <w:jc w:val="center"/>
              <w:rPr>
                <w:sz w:val="24"/>
                <w:szCs w:val="24"/>
                <w:highlight w:val="white"/>
              </w:rPr>
            </w:pPr>
            <w:r>
              <w:rPr>
                <w:sz w:val="24"/>
                <w:szCs w:val="24"/>
                <w:highlight w:val="white"/>
                <w:lang w:eastAsia="en-US"/>
              </w:rPr>
              <w:t>Объем отгруженных товаров собственного производства, выполненных работ и услуг</w:t>
            </w:r>
          </w:p>
        </w:tc>
      </w:tr>
      <w:tr w:rsidR="004F0F0B">
        <w:trPr>
          <w:tblHeader/>
          <w:jc w:val="center"/>
        </w:trPr>
        <w:tc>
          <w:tcPr>
            <w:tcW w:w="4464" w:type="dxa"/>
            <w:vMerge/>
            <w:tcBorders>
              <w:top w:val="single" w:sz="4" w:space="0" w:color="000000"/>
              <w:left w:val="single" w:sz="4" w:space="0" w:color="000000"/>
              <w:bottom w:val="single" w:sz="4" w:space="0" w:color="000000"/>
              <w:right w:val="single" w:sz="4" w:space="0" w:color="000000"/>
            </w:tcBorders>
            <w:vAlign w:val="center"/>
          </w:tcPr>
          <w:p w:rsidR="004F0F0B" w:rsidRDefault="004F0F0B">
            <w:pPr>
              <w:rPr>
                <w:sz w:val="24"/>
                <w:szCs w:val="24"/>
                <w:highlight w:val="yellow"/>
                <w:lang w:eastAsia="en-US"/>
              </w:rPr>
            </w:pPr>
          </w:p>
        </w:tc>
        <w:tc>
          <w:tcPr>
            <w:tcW w:w="2026" w:type="dxa"/>
            <w:vMerge/>
            <w:tcBorders>
              <w:left w:val="single" w:sz="4" w:space="0" w:color="000000"/>
              <w:bottom w:val="single" w:sz="4" w:space="0" w:color="000000"/>
              <w:right w:val="single" w:sz="4" w:space="0" w:color="000000"/>
            </w:tcBorders>
          </w:tcPr>
          <w:p w:rsidR="004F0F0B" w:rsidRDefault="004F0F0B">
            <w:pPr>
              <w:spacing w:line="228" w:lineRule="auto"/>
              <w:jc w:val="center"/>
              <w:rPr>
                <w:sz w:val="24"/>
                <w:szCs w:val="24"/>
                <w:highlight w:val="yellow"/>
                <w:lang w:eastAsia="en-US"/>
              </w:rPr>
            </w:pPr>
          </w:p>
        </w:tc>
        <w:tc>
          <w:tcPr>
            <w:tcW w:w="1899" w:type="dxa"/>
            <w:tcBorders>
              <w:top w:val="single" w:sz="4" w:space="0" w:color="000000"/>
              <w:left w:val="single" w:sz="4" w:space="0" w:color="000000"/>
              <w:bottom w:val="single" w:sz="4" w:space="0" w:color="000000"/>
              <w:right w:val="single" w:sz="4" w:space="0" w:color="000000"/>
            </w:tcBorders>
            <w:vAlign w:val="center"/>
          </w:tcPr>
          <w:p w:rsidR="004F0F0B" w:rsidRDefault="000535AB">
            <w:pPr>
              <w:spacing w:line="228" w:lineRule="auto"/>
              <w:jc w:val="center"/>
              <w:rPr>
                <w:sz w:val="24"/>
                <w:szCs w:val="24"/>
                <w:highlight w:val="white"/>
              </w:rPr>
            </w:pPr>
            <w:r>
              <w:rPr>
                <w:sz w:val="24"/>
                <w:szCs w:val="24"/>
                <w:highlight w:val="white"/>
                <w:lang w:eastAsia="en-US"/>
              </w:rPr>
              <w:t>млн руб.</w:t>
            </w:r>
          </w:p>
        </w:tc>
        <w:tc>
          <w:tcPr>
            <w:tcW w:w="2033" w:type="dxa"/>
            <w:tcBorders>
              <w:top w:val="single" w:sz="4" w:space="0" w:color="000000"/>
              <w:left w:val="single" w:sz="4" w:space="0" w:color="000000"/>
              <w:bottom w:val="single" w:sz="4" w:space="0" w:color="000000"/>
              <w:right w:val="single" w:sz="4" w:space="0" w:color="000000"/>
            </w:tcBorders>
            <w:vAlign w:val="center"/>
          </w:tcPr>
          <w:p w:rsidR="004F0F0B" w:rsidRDefault="000535AB">
            <w:pPr>
              <w:spacing w:line="228" w:lineRule="auto"/>
              <w:jc w:val="center"/>
              <w:rPr>
                <w:sz w:val="24"/>
                <w:szCs w:val="24"/>
                <w:highlight w:val="white"/>
              </w:rPr>
            </w:pPr>
            <w:r>
              <w:rPr>
                <w:sz w:val="24"/>
                <w:szCs w:val="24"/>
                <w:highlight w:val="white"/>
                <w:lang w:eastAsia="en-US"/>
              </w:rPr>
              <w:t>к соотв. периоду 2025 года, %</w:t>
            </w:r>
          </w:p>
        </w:tc>
      </w:tr>
      <w:tr w:rsidR="004F0F0B">
        <w:trPr>
          <w:jc w:val="center"/>
        </w:trPr>
        <w:tc>
          <w:tcPr>
            <w:tcW w:w="4464" w:type="dxa"/>
            <w:tcBorders>
              <w:top w:val="single" w:sz="4" w:space="0" w:color="000000"/>
              <w:left w:val="single" w:sz="4" w:space="0" w:color="000000"/>
              <w:bottom w:val="single" w:sz="4" w:space="0" w:color="000000"/>
              <w:right w:val="single" w:sz="4" w:space="0" w:color="000000"/>
            </w:tcBorders>
            <w:vAlign w:val="center"/>
          </w:tcPr>
          <w:p w:rsidR="004F0F0B" w:rsidRDefault="000535AB">
            <w:pPr>
              <w:rPr>
                <w:sz w:val="24"/>
                <w:szCs w:val="24"/>
                <w:highlight w:val="white"/>
              </w:rPr>
            </w:pPr>
            <w:r>
              <w:rPr>
                <w:sz w:val="24"/>
                <w:szCs w:val="24"/>
                <w:highlight w:val="white"/>
                <w:lang w:eastAsia="en-US"/>
              </w:rPr>
              <w:t>в производстве пищевых продуктов</w:t>
            </w:r>
          </w:p>
        </w:tc>
        <w:tc>
          <w:tcPr>
            <w:tcW w:w="2026"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99,4</w:t>
            </w:r>
          </w:p>
        </w:tc>
        <w:tc>
          <w:tcPr>
            <w:tcW w:w="1899"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147704,7</w:t>
            </w:r>
          </w:p>
        </w:tc>
        <w:tc>
          <w:tcPr>
            <w:tcW w:w="2033"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100,6</w:t>
            </w:r>
          </w:p>
        </w:tc>
      </w:tr>
      <w:tr w:rsidR="004F0F0B">
        <w:trPr>
          <w:trHeight w:val="276"/>
          <w:jc w:val="center"/>
        </w:trPr>
        <w:tc>
          <w:tcPr>
            <w:tcW w:w="4464" w:type="dxa"/>
            <w:tcBorders>
              <w:top w:val="single" w:sz="4" w:space="0" w:color="000000"/>
              <w:left w:val="single" w:sz="4" w:space="0" w:color="000000"/>
              <w:bottom w:val="single" w:sz="4" w:space="0" w:color="000000"/>
              <w:right w:val="single" w:sz="4" w:space="0" w:color="000000"/>
            </w:tcBorders>
            <w:vAlign w:val="center"/>
          </w:tcPr>
          <w:p w:rsidR="004F0F0B" w:rsidRDefault="000535AB">
            <w:pPr>
              <w:spacing w:line="228" w:lineRule="auto"/>
              <w:rPr>
                <w:sz w:val="24"/>
                <w:szCs w:val="24"/>
                <w:highlight w:val="white"/>
              </w:rPr>
            </w:pPr>
            <w:r>
              <w:rPr>
                <w:sz w:val="24"/>
                <w:szCs w:val="24"/>
                <w:highlight w:val="white"/>
                <w:lang w:eastAsia="en-US"/>
              </w:rPr>
              <w:t>в производстве текстильных изделий</w:t>
            </w:r>
          </w:p>
        </w:tc>
        <w:tc>
          <w:tcPr>
            <w:tcW w:w="2026"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97,9</w:t>
            </w:r>
          </w:p>
        </w:tc>
        <w:tc>
          <w:tcPr>
            <w:tcW w:w="1899"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2807,5</w:t>
            </w:r>
          </w:p>
        </w:tc>
        <w:tc>
          <w:tcPr>
            <w:tcW w:w="2033"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117,5</w:t>
            </w:r>
          </w:p>
        </w:tc>
      </w:tr>
      <w:tr w:rsidR="004F0F0B">
        <w:trPr>
          <w:jc w:val="center"/>
        </w:trPr>
        <w:tc>
          <w:tcPr>
            <w:tcW w:w="4464" w:type="dxa"/>
            <w:tcBorders>
              <w:top w:val="single" w:sz="4" w:space="0" w:color="000000"/>
              <w:left w:val="single" w:sz="4" w:space="0" w:color="000000"/>
              <w:bottom w:val="single" w:sz="4" w:space="0" w:color="000000"/>
              <w:right w:val="single" w:sz="4" w:space="0" w:color="000000"/>
            </w:tcBorders>
            <w:vAlign w:val="center"/>
          </w:tcPr>
          <w:p w:rsidR="004F0F0B" w:rsidRDefault="000535AB">
            <w:pPr>
              <w:spacing w:line="228" w:lineRule="auto"/>
              <w:rPr>
                <w:sz w:val="24"/>
                <w:szCs w:val="24"/>
                <w:highlight w:val="white"/>
              </w:rPr>
            </w:pPr>
            <w:r>
              <w:rPr>
                <w:sz w:val="24"/>
                <w:szCs w:val="24"/>
                <w:highlight w:val="white"/>
                <w:lang w:eastAsia="en-US"/>
              </w:rPr>
              <w:t>в металлургическом производстве</w:t>
            </w:r>
          </w:p>
        </w:tc>
        <w:tc>
          <w:tcPr>
            <w:tcW w:w="2026"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96,6</w:t>
            </w:r>
          </w:p>
        </w:tc>
        <w:tc>
          <w:tcPr>
            <w:tcW w:w="1899"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12803,0</w:t>
            </w:r>
          </w:p>
        </w:tc>
        <w:tc>
          <w:tcPr>
            <w:tcW w:w="2033"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164,4</w:t>
            </w:r>
          </w:p>
        </w:tc>
      </w:tr>
      <w:tr w:rsidR="004F0F0B">
        <w:trPr>
          <w:trHeight w:val="276"/>
          <w:jc w:val="center"/>
        </w:trPr>
        <w:tc>
          <w:tcPr>
            <w:tcW w:w="4464" w:type="dxa"/>
            <w:tcBorders>
              <w:top w:val="single" w:sz="4" w:space="0" w:color="000000"/>
              <w:left w:val="single" w:sz="4" w:space="0" w:color="000000"/>
              <w:bottom w:val="single" w:sz="4" w:space="0" w:color="000000"/>
              <w:right w:val="single" w:sz="4" w:space="0" w:color="000000"/>
            </w:tcBorders>
            <w:vAlign w:val="center"/>
          </w:tcPr>
          <w:p w:rsidR="004F0F0B" w:rsidRDefault="000535AB">
            <w:pPr>
              <w:rPr>
                <w:sz w:val="24"/>
                <w:szCs w:val="24"/>
                <w:highlight w:val="white"/>
              </w:rPr>
            </w:pPr>
            <w:r>
              <w:rPr>
                <w:sz w:val="24"/>
                <w:szCs w:val="24"/>
                <w:highlight w:val="white"/>
                <w:lang w:eastAsia="en-US"/>
              </w:rPr>
              <w:t>в производстве напитков</w:t>
            </w:r>
          </w:p>
        </w:tc>
        <w:tc>
          <w:tcPr>
            <w:tcW w:w="2026"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94,5</w:t>
            </w:r>
          </w:p>
        </w:tc>
        <w:tc>
          <w:tcPr>
            <w:tcW w:w="1899"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1744,5</w:t>
            </w:r>
          </w:p>
        </w:tc>
        <w:tc>
          <w:tcPr>
            <w:tcW w:w="2033"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81,7</w:t>
            </w:r>
          </w:p>
        </w:tc>
      </w:tr>
      <w:tr w:rsidR="004F0F0B">
        <w:trPr>
          <w:jc w:val="center"/>
        </w:trPr>
        <w:tc>
          <w:tcPr>
            <w:tcW w:w="4464" w:type="dxa"/>
            <w:tcBorders>
              <w:top w:val="single" w:sz="4" w:space="0" w:color="000000"/>
              <w:left w:val="single" w:sz="4" w:space="0" w:color="000000"/>
              <w:bottom w:val="single" w:sz="4" w:space="0" w:color="000000"/>
              <w:right w:val="single" w:sz="4" w:space="0" w:color="000000"/>
            </w:tcBorders>
          </w:tcPr>
          <w:p w:rsidR="004F0F0B" w:rsidRDefault="000535AB">
            <w:pPr>
              <w:rPr>
                <w:sz w:val="24"/>
                <w:szCs w:val="24"/>
                <w:highlight w:val="white"/>
              </w:rPr>
            </w:pPr>
            <w:r>
              <w:rPr>
                <w:sz w:val="24"/>
                <w:szCs w:val="24"/>
                <w:highlight w:val="white"/>
                <w:lang w:eastAsia="en-US"/>
              </w:rPr>
              <w:t>в производстве табачных изделий</w:t>
            </w:r>
          </w:p>
        </w:tc>
        <w:tc>
          <w:tcPr>
            <w:tcW w:w="2026"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94,3</w:t>
            </w:r>
          </w:p>
        </w:tc>
        <w:tc>
          <w:tcPr>
            <w:tcW w:w="1899"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78108,9</w:t>
            </w:r>
          </w:p>
        </w:tc>
        <w:tc>
          <w:tcPr>
            <w:tcW w:w="2033"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99,9</w:t>
            </w:r>
          </w:p>
        </w:tc>
      </w:tr>
      <w:tr w:rsidR="004F0F0B">
        <w:trPr>
          <w:trHeight w:val="262"/>
          <w:jc w:val="center"/>
        </w:trPr>
        <w:tc>
          <w:tcPr>
            <w:tcW w:w="4464" w:type="dxa"/>
            <w:tcBorders>
              <w:top w:val="single" w:sz="4" w:space="0" w:color="000000"/>
              <w:left w:val="single" w:sz="4" w:space="0" w:color="000000"/>
              <w:bottom w:val="single" w:sz="4" w:space="0" w:color="000000"/>
              <w:right w:val="single" w:sz="4" w:space="0" w:color="000000"/>
            </w:tcBorders>
            <w:vAlign w:val="center"/>
          </w:tcPr>
          <w:p w:rsidR="004F0F0B" w:rsidRDefault="000535AB">
            <w:pPr>
              <w:spacing w:line="228" w:lineRule="auto"/>
              <w:rPr>
                <w:sz w:val="24"/>
                <w:szCs w:val="24"/>
                <w:highlight w:val="white"/>
              </w:rPr>
            </w:pPr>
            <w:r>
              <w:rPr>
                <w:sz w:val="24"/>
                <w:szCs w:val="24"/>
                <w:highlight w:val="white"/>
                <w:lang w:eastAsia="en-US"/>
              </w:rPr>
              <w:t>в производстве прочей неметаллической минеральной продукции</w:t>
            </w:r>
          </w:p>
        </w:tc>
        <w:tc>
          <w:tcPr>
            <w:tcW w:w="2026"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92,0</w:t>
            </w:r>
          </w:p>
        </w:tc>
        <w:tc>
          <w:tcPr>
            <w:tcW w:w="1899"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37219,4</w:t>
            </w:r>
          </w:p>
        </w:tc>
        <w:tc>
          <w:tcPr>
            <w:tcW w:w="2033"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88,7</w:t>
            </w:r>
          </w:p>
        </w:tc>
      </w:tr>
      <w:tr w:rsidR="004F0F0B">
        <w:trPr>
          <w:trHeight w:val="262"/>
          <w:jc w:val="center"/>
        </w:trPr>
        <w:tc>
          <w:tcPr>
            <w:tcW w:w="4464" w:type="dxa"/>
            <w:tcBorders>
              <w:top w:val="single" w:sz="4" w:space="0" w:color="000000"/>
              <w:left w:val="single" w:sz="4" w:space="0" w:color="000000"/>
              <w:bottom w:val="single" w:sz="4" w:space="0" w:color="000000"/>
              <w:right w:val="single" w:sz="4" w:space="0" w:color="000000"/>
            </w:tcBorders>
            <w:vAlign w:val="center"/>
          </w:tcPr>
          <w:p w:rsidR="004F0F0B" w:rsidRDefault="000535AB">
            <w:pPr>
              <w:spacing w:line="228" w:lineRule="auto"/>
              <w:rPr>
                <w:sz w:val="24"/>
                <w:szCs w:val="24"/>
                <w:highlight w:val="white"/>
              </w:rPr>
            </w:pPr>
            <w:r>
              <w:rPr>
                <w:sz w:val="24"/>
                <w:szCs w:val="24"/>
                <w:highlight w:val="white"/>
                <w:lang w:eastAsia="en-US"/>
              </w:rPr>
              <w:t>в производстве кожи и изделий из кожи</w:t>
            </w:r>
          </w:p>
        </w:tc>
        <w:tc>
          <w:tcPr>
            <w:tcW w:w="2026"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90,7</w:t>
            </w:r>
          </w:p>
        </w:tc>
        <w:tc>
          <w:tcPr>
            <w:tcW w:w="1899"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330,3</w:t>
            </w:r>
          </w:p>
        </w:tc>
        <w:tc>
          <w:tcPr>
            <w:tcW w:w="2033"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223,1</w:t>
            </w:r>
          </w:p>
        </w:tc>
      </w:tr>
      <w:tr w:rsidR="004F0F0B">
        <w:trPr>
          <w:jc w:val="center"/>
        </w:trPr>
        <w:tc>
          <w:tcPr>
            <w:tcW w:w="4464" w:type="dxa"/>
            <w:tcBorders>
              <w:top w:val="single" w:sz="4" w:space="0" w:color="000000"/>
              <w:left w:val="single" w:sz="4" w:space="0" w:color="000000"/>
              <w:bottom w:val="single" w:sz="4" w:space="0" w:color="000000"/>
              <w:right w:val="single" w:sz="4" w:space="0" w:color="000000"/>
            </w:tcBorders>
            <w:vAlign w:val="center"/>
          </w:tcPr>
          <w:p w:rsidR="004F0F0B" w:rsidRDefault="000535AB">
            <w:pPr>
              <w:spacing w:line="228" w:lineRule="auto"/>
              <w:rPr>
                <w:sz w:val="24"/>
                <w:szCs w:val="24"/>
                <w:highlight w:val="white"/>
              </w:rPr>
            </w:pPr>
            <w:r>
              <w:rPr>
                <w:sz w:val="24"/>
                <w:szCs w:val="24"/>
                <w:highlight w:val="white"/>
                <w:lang w:eastAsia="en-US"/>
              </w:rPr>
              <w:t>в производстве химических веществ и химических продуктов</w:t>
            </w:r>
          </w:p>
        </w:tc>
        <w:tc>
          <w:tcPr>
            <w:tcW w:w="2026"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90,6</w:t>
            </w:r>
          </w:p>
        </w:tc>
        <w:tc>
          <w:tcPr>
            <w:tcW w:w="1899"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111903,9</w:t>
            </w:r>
          </w:p>
        </w:tc>
        <w:tc>
          <w:tcPr>
            <w:tcW w:w="2033"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98,0</w:t>
            </w:r>
          </w:p>
        </w:tc>
      </w:tr>
      <w:tr w:rsidR="004F0F0B">
        <w:trPr>
          <w:trHeight w:val="794"/>
          <w:jc w:val="center"/>
        </w:trPr>
        <w:tc>
          <w:tcPr>
            <w:tcW w:w="4464" w:type="dxa"/>
            <w:tcBorders>
              <w:top w:val="single" w:sz="4" w:space="0" w:color="000000"/>
              <w:left w:val="single" w:sz="4" w:space="0" w:color="000000"/>
              <w:bottom w:val="single" w:sz="4" w:space="0" w:color="000000"/>
              <w:right w:val="single" w:sz="4" w:space="0" w:color="000000"/>
            </w:tcBorders>
          </w:tcPr>
          <w:p w:rsidR="004F0F0B" w:rsidRDefault="000535AB">
            <w:pPr>
              <w:spacing w:line="228" w:lineRule="auto"/>
              <w:rPr>
                <w:sz w:val="24"/>
                <w:szCs w:val="24"/>
                <w:lang w:eastAsia="en-US"/>
              </w:rPr>
            </w:pPr>
            <w:r>
              <w:rPr>
                <w:sz w:val="24"/>
                <w:szCs w:val="24"/>
                <w:highlight w:val="white"/>
                <w:lang w:eastAsia="en-US"/>
              </w:rPr>
              <w:t>в производстве электрического оборудования</w:t>
            </w:r>
          </w:p>
        </w:tc>
        <w:tc>
          <w:tcPr>
            <w:tcW w:w="2026"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85,1</w:t>
            </w:r>
          </w:p>
        </w:tc>
        <w:tc>
          <w:tcPr>
            <w:tcW w:w="1899"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16037,3</w:t>
            </w:r>
          </w:p>
        </w:tc>
        <w:tc>
          <w:tcPr>
            <w:tcW w:w="2033"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78,0</w:t>
            </w:r>
          </w:p>
        </w:tc>
      </w:tr>
      <w:tr w:rsidR="004F0F0B">
        <w:trPr>
          <w:jc w:val="center"/>
        </w:trPr>
        <w:tc>
          <w:tcPr>
            <w:tcW w:w="4464" w:type="dxa"/>
            <w:tcBorders>
              <w:top w:val="single" w:sz="4" w:space="0" w:color="000000"/>
              <w:left w:val="single" w:sz="4" w:space="0" w:color="000000"/>
              <w:bottom w:val="single" w:sz="4" w:space="0" w:color="000000"/>
              <w:right w:val="single" w:sz="4" w:space="0" w:color="000000"/>
            </w:tcBorders>
          </w:tcPr>
          <w:p w:rsidR="004F0F0B" w:rsidRDefault="000535AB">
            <w:pPr>
              <w:rPr>
                <w:sz w:val="24"/>
                <w:szCs w:val="24"/>
                <w:highlight w:val="white"/>
              </w:rPr>
            </w:pPr>
            <w:r>
              <w:rPr>
                <w:sz w:val="24"/>
                <w:szCs w:val="24"/>
                <w:highlight w:val="white"/>
                <w:lang w:eastAsia="en-US"/>
              </w:rPr>
              <w:t>в производстве автотранспортных средств, прицепов и полуприцепов</w:t>
            </w:r>
          </w:p>
        </w:tc>
        <w:tc>
          <w:tcPr>
            <w:tcW w:w="2026"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83,8</w:t>
            </w:r>
          </w:p>
        </w:tc>
        <w:tc>
          <w:tcPr>
            <w:tcW w:w="1899"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3639,4</w:t>
            </w:r>
          </w:p>
        </w:tc>
        <w:tc>
          <w:tcPr>
            <w:tcW w:w="2033"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62,3</w:t>
            </w:r>
          </w:p>
        </w:tc>
      </w:tr>
      <w:tr w:rsidR="004F0F0B">
        <w:trPr>
          <w:jc w:val="center"/>
        </w:trPr>
        <w:tc>
          <w:tcPr>
            <w:tcW w:w="4464" w:type="dxa"/>
            <w:tcBorders>
              <w:top w:val="single" w:sz="4" w:space="0" w:color="000000"/>
              <w:left w:val="single" w:sz="4" w:space="0" w:color="000000"/>
              <w:bottom w:val="single" w:sz="4" w:space="0" w:color="000000"/>
              <w:right w:val="single" w:sz="4" w:space="0" w:color="000000"/>
            </w:tcBorders>
          </w:tcPr>
          <w:p w:rsidR="004F0F0B" w:rsidRDefault="000535AB">
            <w:pPr>
              <w:spacing w:line="228" w:lineRule="auto"/>
              <w:rPr>
                <w:sz w:val="24"/>
                <w:szCs w:val="24"/>
                <w:highlight w:val="white"/>
              </w:rPr>
            </w:pPr>
            <w:r>
              <w:rPr>
                <w:sz w:val="24"/>
                <w:szCs w:val="24"/>
                <w:highlight w:val="white"/>
                <w:lang w:eastAsia="en-US"/>
              </w:rPr>
              <w:t xml:space="preserve">в обработке древесины и производстве изделий из дерева и пробки, кроме мебели,  производство изделий из соломки и материалов для плетения  </w:t>
            </w:r>
          </w:p>
        </w:tc>
        <w:tc>
          <w:tcPr>
            <w:tcW w:w="2026"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83,6</w:t>
            </w:r>
          </w:p>
        </w:tc>
        <w:tc>
          <w:tcPr>
            <w:tcW w:w="1899"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11934,7</w:t>
            </w:r>
          </w:p>
        </w:tc>
        <w:tc>
          <w:tcPr>
            <w:tcW w:w="2033"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93,4</w:t>
            </w:r>
          </w:p>
        </w:tc>
      </w:tr>
      <w:tr w:rsidR="004F0F0B">
        <w:trPr>
          <w:jc w:val="center"/>
        </w:trPr>
        <w:tc>
          <w:tcPr>
            <w:tcW w:w="4464" w:type="dxa"/>
            <w:tcBorders>
              <w:top w:val="single" w:sz="4" w:space="0" w:color="000000"/>
              <w:left w:val="single" w:sz="4" w:space="0" w:color="000000"/>
              <w:bottom w:val="single" w:sz="4" w:space="0" w:color="000000"/>
              <w:right w:val="single" w:sz="4" w:space="0" w:color="000000"/>
            </w:tcBorders>
          </w:tcPr>
          <w:p w:rsidR="004F0F0B" w:rsidRDefault="000535AB">
            <w:pPr>
              <w:rPr>
                <w:sz w:val="24"/>
                <w:szCs w:val="24"/>
                <w:highlight w:val="white"/>
              </w:rPr>
            </w:pPr>
            <w:r>
              <w:rPr>
                <w:sz w:val="24"/>
                <w:szCs w:val="24"/>
                <w:highlight w:val="white"/>
                <w:lang w:eastAsia="en-US"/>
              </w:rPr>
              <w:t>в производстве компьютеров, электронных и оптических изделий</w:t>
            </w:r>
          </w:p>
        </w:tc>
        <w:tc>
          <w:tcPr>
            <w:tcW w:w="2026" w:type="dxa"/>
            <w:tcBorders>
              <w:top w:val="single" w:sz="4" w:space="0" w:color="000000"/>
              <w:left w:val="single" w:sz="4" w:space="0" w:color="000000"/>
              <w:bottom w:val="single" w:sz="4" w:space="0" w:color="000000"/>
              <w:right w:val="single" w:sz="4" w:space="0" w:color="000000"/>
            </w:tcBorders>
          </w:tcPr>
          <w:p w:rsidR="004F0F0B" w:rsidRDefault="000535AB">
            <w:pPr>
              <w:jc w:val="center"/>
              <w:rPr>
                <w:sz w:val="24"/>
                <w:szCs w:val="24"/>
              </w:rPr>
            </w:pPr>
            <w:r>
              <w:rPr>
                <w:sz w:val="24"/>
                <w:szCs w:val="24"/>
              </w:rPr>
              <w:t>79,9</w:t>
            </w:r>
          </w:p>
        </w:tc>
        <w:tc>
          <w:tcPr>
            <w:tcW w:w="1899"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4855,7</w:t>
            </w:r>
          </w:p>
        </w:tc>
        <w:tc>
          <w:tcPr>
            <w:tcW w:w="2033"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105,3</w:t>
            </w:r>
          </w:p>
        </w:tc>
      </w:tr>
      <w:tr w:rsidR="004F0F0B">
        <w:trPr>
          <w:jc w:val="center"/>
        </w:trPr>
        <w:tc>
          <w:tcPr>
            <w:tcW w:w="4464" w:type="dxa"/>
            <w:tcBorders>
              <w:top w:val="single" w:sz="4" w:space="0" w:color="000000"/>
              <w:left w:val="single" w:sz="4" w:space="0" w:color="000000"/>
              <w:bottom w:val="single" w:sz="4" w:space="0" w:color="000000"/>
              <w:right w:val="single" w:sz="4" w:space="0" w:color="000000"/>
            </w:tcBorders>
          </w:tcPr>
          <w:p w:rsidR="004F0F0B" w:rsidRDefault="000535AB">
            <w:pPr>
              <w:rPr>
                <w:sz w:val="24"/>
                <w:szCs w:val="24"/>
                <w:highlight w:val="white"/>
              </w:rPr>
            </w:pPr>
            <w:r>
              <w:rPr>
                <w:sz w:val="24"/>
                <w:szCs w:val="24"/>
                <w:highlight w:val="white"/>
                <w:lang w:eastAsia="en-US"/>
              </w:rPr>
              <w:t>в производстве мебели</w:t>
            </w:r>
          </w:p>
        </w:tc>
        <w:tc>
          <w:tcPr>
            <w:tcW w:w="2026"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73,4</w:t>
            </w:r>
          </w:p>
        </w:tc>
        <w:tc>
          <w:tcPr>
            <w:tcW w:w="1899"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3289</w:t>
            </w:r>
          </w:p>
        </w:tc>
        <w:tc>
          <w:tcPr>
            <w:tcW w:w="2033"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106,4</w:t>
            </w:r>
          </w:p>
        </w:tc>
      </w:tr>
      <w:tr w:rsidR="004F0F0B">
        <w:trPr>
          <w:jc w:val="center"/>
        </w:trPr>
        <w:tc>
          <w:tcPr>
            <w:tcW w:w="4464" w:type="dxa"/>
            <w:tcBorders>
              <w:top w:val="single" w:sz="4" w:space="0" w:color="000000"/>
              <w:left w:val="single" w:sz="4" w:space="0" w:color="000000"/>
              <w:bottom w:val="single" w:sz="4" w:space="0" w:color="000000"/>
              <w:right w:val="single" w:sz="4" w:space="0" w:color="000000"/>
            </w:tcBorders>
          </w:tcPr>
          <w:p w:rsidR="004F0F0B" w:rsidRDefault="000535AB">
            <w:pPr>
              <w:rPr>
                <w:sz w:val="24"/>
                <w:szCs w:val="24"/>
                <w:highlight w:val="white"/>
              </w:rPr>
            </w:pPr>
            <w:r>
              <w:rPr>
                <w:sz w:val="24"/>
                <w:szCs w:val="24"/>
                <w:highlight w:val="white"/>
                <w:lang w:eastAsia="en-US"/>
              </w:rPr>
              <w:t>в производстве одежды</w:t>
            </w:r>
          </w:p>
        </w:tc>
        <w:tc>
          <w:tcPr>
            <w:tcW w:w="2026"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72,4</w:t>
            </w:r>
          </w:p>
        </w:tc>
        <w:tc>
          <w:tcPr>
            <w:tcW w:w="1899"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2262,0</w:t>
            </w:r>
          </w:p>
        </w:tc>
        <w:tc>
          <w:tcPr>
            <w:tcW w:w="2033"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53,1</w:t>
            </w:r>
          </w:p>
        </w:tc>
      </w:tr>
      <w:tr w:rsidR="004F0F0B">
        <w:trPr>
          <w:jc w:val="center"/>
        </w:trPr>
        <w:tc>
          <w:tcPr>
            <w:tcW w:w="4464" w:type="dxa"/>
            <w:tcBorders>
              <w:top w:val="single" w:sz="4" w:space="0" w:color="000000"/>
              <w:left w:val="single" w:sz="4" w:space="0" w:color="000000"/>
              <w:bottom w:val="single" w:sz="4" w:space="0" w:color="000000"/>
              <w:right w:val="single" w:sz="4" w:space="0" w:color="000000"/>
            </w:tcBorders>
          </w:tcPr>
          <w:p w:rsidR="004F0F0B" w:rsidRDefault="000535AB">
            <w:pPr>
              <w:rPr>
                <w:sz w:val="24"/>
                <w:szCs w:val="24"/>
                <w:highlight w:val="white"/>
              </w:rPr>
            </w:pPr>
            <w:r>
              <w:rPr>
                <w:sz w:val="24"/>
                <w:szCs w:val="24"/>
                <w:highlight w:val="white"/>
                <w:lang w:eastAsia="en-US"/>
              </w:rPr>
              <w:t>в производстве кокса и нефтепродуктов</w:t>
            </w:r>
          </w:p>
        </w:tc>
        <w:tc>
          <w:tcPr>
            <w:tcW w:w="2026"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68,7</w:t>
            </w:r>
          </w:p>
        </w:tc>
        <w:tc>
          <w:tcPr>
            <w:tcW w:w="1899"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181454,1</w:t>
            </w:r>
          </w:p>
        </w:tc>
        <w:tc>
          <w:tcPr>
            <w:tcW w:w="2033"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91,3</w:t>
            </w:r>
          </w:p>
        </w:tc>
      </w:tr>
      <w:tr w:rsidR="004F0F0B">
        <w:trPr>
          <w:jc w:val="center"/>
        </w:trPr>
        <w:tc>
          <w:tcPr>
            <w:tcW w:w="4464" w:type="dxa"/>
            <w:tcBorders>
              <w:top w:val="single" w:sz="4" w:space="0" w:color="000000"/>
              <w:left w:val="single" w:sz="4" w:space="0" w:color="000000"/>
              <w:bottom w:val="single" w:sz="4" w:space="0" w:color="000000"/>
              <w:right w:val="single" w:sz="4" w:space="0" w:color="000000"/>
            </w:tcBorders>
          </w:tcPr>
          <w:p w:rsidR="004F0F0B" w:rsidRDefault="000535AB">
            <w:pPr>
              <w:spacing w:line="228" w:lineRule="auto"/>
              <w:rPr>
                <w:sz w:val="24"/>
                <w:szCs w:val="24"/>
                <w:highlight w:val="white"/>
              </w:rPr>
            </w:pPr>
            <w:r>
              <w:rPr>
                <w:sz w:val="24"/>
                <w:szCs w:val="24"/>
                <w:highlight w:val="white"/>
                <w:lang w:eastAsia="en-US"/>
              </w:rPr>
              <w:t>в производстве машин и оборудования, не включенных в другие группировки</w:t>
            </w:r>
          </w:p>
        </w:tc>
        <w:tc>
          <w:tcPr>
            <w:tcW w:w="2026"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57,9</w:t>
            </w:r>
          </w:p>
        </w:tc>
        <w:tc>
          <w:tcPr>
            <w:tcW w:w="1899"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13897,2</w:t>
            </w:r>
          </w:p>
        </w:tc>
        <w:tc>
          <w:tcPr>
            <w:tcW w:w="2033"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111,3</w:t>
            </w:r>
          </w:p>
        </w:tc>
      </w:tr>
      <w:tr w:rsidR="004F0F0B">
        <w:trPr>
          <w:jc w:val="center"/>
        </w:trPr>
        <w:tc>
          <w:tcPr>
            <w:tcW w:w="4464" w:type="dxa"/>
            <w:tcBorders>
              <w:top w:val="single" w:sz="4" w:space="0" w:color="000000"/>
              <w:left w:val="single" w:sz="4" w:space="0" w:color="000000"/>
              <w:bottom w:val="single" w:sz="4" w:space="0" w:color="000000"/>
              <w:right w:val="single" w:sz="4" w:space="0" w:color="000000"/>
            </w:tcBorders>
          </w:tcPr>
          <w:p w:rsidR="004F0F0B" w:rsidRDefault="000535AB">
            <w:pPr>
              <w:spacing w:line="228" w:lineRule="auto"/>
              <w:rPr>
                <w:sz w:val="24"/>
                <w:szCs w:val="24"/>
                <w:highlight w:val="white"/>
              </w:rPr>
            </w:pPr>
            <w:r>
              <w:rPr>
                <w:sz w:val="24"/>
                <w:szCs w:val="24"/>
                <w:highlight w:val="white"/>
                <w:lang w:eastAsia="en-US"/>
              </w:rPr>
              <w:t>в полиграфической деятельности и копировании носителей информации</w:t>
            </w:r>
          </w:p>
        </w:tc>
        <w:tc>
          <w:tcPr>
            <w:tcW w:w="2026"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50,7</w:t>
            </w:r>
          </w:p>
        </w:tc>
        <w:tc>
          <w:tcPr>
            <w:tcW w:w="1899"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5677,8</w:t>
            </w:r>
          </w:p>
        </w:tc>
        <w:tc>
          <w:tcPr>
            <w:tcW w:w="2033"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55,3</w:t>
            </w:r>
          </w:p>
        </w:tc>
      </w:tr>
      <w:tr w:rsidR="004F0F0B">
        <w:trPr>
          <w:jc w:val="center"/>
        </w:trPr>
        <w:tc>
          <w:tcPr>
            <w:tcW w:w="4464" w:type="dxa"/>
            <w:tcBorders>
              <w:top w:val="single" w:sz="4" w:space="0" w:color="000000"/>
              <w:left w:val="single" w:sz="4" w:space="0" w:color="000000"/>
              <w:bottom w:val="single" w:sz="4" w:space="0" w:color="000000"/>
              <w:right w:val="single" w:sz="4" w:space="0" w:color="000000"/>
            </w:tcBorders>
          </w:tcPr>
          <w:p w:rsidR="004F0F0B" w:rsidRDefault="000535AB">
            <w:pPr>
              <w:spacing w:line="228" w:lineRule="auto"/>
              <w:rPr>
                <w:sz w:val="24"/>
                <w:szCs w:val="24"/>
                <w:highlight w:val="white"/>
              </w:rPr>
            </w:pPr>
            <w:r>
              <w:rPr>
                <w:sz w:val="24"/>
                <w:szCs w:val="24"/>
                <w:highlight w:val="white"/>
                <w:lang w:eastAsia="en-US"/>
              </w:rPr>
              <w:lastRenderedPageBreak/>
              <w:t>в производстве прочих транспортных средств и оборудования</w:t>
            </w:r>
          </w:p>
        </w:tc>
        <w:tc>
          <w:tcPr>
            <w:tcW w:w="2026"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43,1</w:t>
            </w:r>
          </w:p>
        </w:tc>
        <w:tc>
          <w:tcPr>
            <w:tcW w:w="1899"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6925,6</w:t>
            </w:r>
          </w:p>
        </w:tc>
        <w:tc>
          <w:tcPr>
            <w:tcW w:w="2033"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14,3</w:t>
            </w:r>
          </w:p>
        </w:tc>
      </w:tr>
    </w:tbl>
    <w:p w:rsidR="004F0F0B" w:rsidRDefault="000535AB">
      <w:pPr>
        <w:shd w:val="clear" w:color="auto" w:fill="FFFFFF" w:themeFill="background1"/>
        <w:spacing w:line="228" w:lineRule="auto"/>
        <w:ind w:firstLine="709"/>
        <w:jc w:val="both"/>
        <w:rPr>
          <w:bCs/>
          <w:sz w:val="28"/>
          <w:szCs w:val="28"/>
        </w:rPr>
      </w:pPr>
      <w:r>
        <w:rPr>
          <w:b/>
          <w:i/>
          <w:sz w:val="28"/>
          <w:szCs w:val="28"/>
        </w:rPr>
        <w:t>Обеспечение электрической энергией, газом и паром; кондиционирование воздуха</w:t>
      </w:r>
      <w:r>
        <w:rPr>
          <w:b/>
          <w:sz w:val="28"/>
          <w:szCs w:val="28"/>
        </w:rPr>
        <w:t>.</w:t>
      </w:r>
      <w:r>
        <w:rPr>
          <w:i/>
          <w:sz w:val="28"/>
          <w:szCs w:val="28"/>
        </w:rPr>
        <w:t xml:space="preserve"> </w:t>
      </w:r>
      <w:r>
        <w:rPr>
          <w:sz w:val="28"/>
          <w:szCs w:val="28"/>
          <w:highlight w:val="white"/>
        </w:rPr>
        <w:t>Объем отгруженных товаров собственного производства, выполненных работ и услуг</w:t>
      </w:r>
      <w:r>
        <w:rPr>
          <w:i/>
          <w:sz w:val="28"/>
          <w:szCs w:val="28"/>
          <w:highlight w:val="white"/>
        </w:rPr>
        <w:t xml:space="preserve"> </w:t>
      </w:r>
      <w:r>
        <w:rPr>
          <w:sz w:val="28"/>
          <w:szCs w:val="28"/>
          <w:highlight w:val="white"/>
        </w:rPr>
        <w:t>по обеспечению электрической энергией, газом и паром; кондиционированию воздуха за январь-май 2026 года составил 130 443,0</w:t>
      </w:r>
      <w:r>
        <w:rPr>
          <w:iCs/>
          <w:sz w:val="28"/>
          <w:szCs w:val="28"/>
          <w:highlight w:val="white"/>
        </w:rPr>
        <w:t xml:space="preserve"> </w:t>
      </w:r>
      <w:r>
        <w:rPr>
          <w:sz w:val="28"/>
          <w:szCs w:val="28"/>
          <w:highlight w:val="white"/>
        </w:rPr>
        <w:t xml:space="preserve">млн рублей или </w:t>
      </w:r>
      <w:r>
        <w:rPr>
          <w:b/>
          <w:bCs/>
          <w:sz w:val="28"/>
          <w:szCs w:val="28"/>
          <w:highlight w:val="white"/>
        </w:rPr>
        <w:t>124,1%</w:t>
      </w:r>
      <w:r>
        <w:rPr>
          <w:sz w:val="28"/>
          <w:szCs w:val="28"/>
          <w:highlight w:val="white"/>
        </w:rPr>
        <w:t xml:space="preserve"> к январю-маю 2025 года в действующих ценах. Индекс промышленного производства составил </w:t>
      </w:r>
      <w:r>
        <w:rPr>
          <w:b/>
          <w:bCs/>
          <w:sz w:val="28"/>
          <w:szCs w:val="28"/>
          <w:highlight w:val="white"/>
        </w:rPr>
        <w:t>103,5%</w:t>
      </w:r>
      <w:r>
        <w:rPr>
          <w:sz w:val="28"/>
          <w:szCs w:val="28"/>
          <w:highlight w:val="white"/>
        </w:rPr>
        <w:t>.</w:t>
      </w:r>
      <w:r>
        <w:rPr>
          <w:bCs/>
          <w:sz w:val="28"/>
          <w:szCs w:val="28"/>
          <w:highlight w:val="white"/>
        </w:rPr>
        <w:t xml:space="preserve"> </w:t>
      </w:r>
    </w:p>
    <w:p w:rsidR="004F0F0B" w:rsidRDefault="000535AB">
      <w:pPr>
        <w:spacing w:line="228" w:lineRule="auto"/>
        <w:ind w:firstLine="709"/>
        <w:jc w:val="both"/>
        <w:rPr>
          <w:b/>
          <w:bCs/>
          <w:sz w:val="28"/>
          <w:szCs w:val="28"/>
        </w:rPr>
      </w:pPr>
      <w:r>
        <w:rPr>
          <w:b/>
          <w:i/>
          <w:sz w:val="28"/>
          <w:szCs w:val="28"/>
        </w:rPr>
        <w:t>Водоснабжение; водоотведение, организация сбора и утилизации отходов, деятельность по ликвидации загрязнений</w:t>
      </w:r>
      <w:r>
        <w:rPr>
          <w:b/>
          <w:sz w:val="28"/>
          <w:szCs w:val="28"/>
        </w:rPr>
        <w:t>.</w:t>
      </w:r>
      <w:r>
        <w:rPr>
          <w:b/>
          <w:bCs/>
          <w:i/>
          <w:sz w:val="28"/>
          <w:szCs w:val="28"/>
        </w:rPr>
        <w:t xml:space="preserve"> </w:t>
      </w:r>
      <w:r>
        <w:rPr>
          <w:sz w:val="28"/>
          <w:szCs w:val="28"/>
          <w:highlight w:val="white"/>
        </w:rPr>
        <w:t>Объем отгруженных товаров собственного производства, выполненных работ и услуг</w:t>
      </w:r>
      <w:r>
        <w:rPr>
          <w:i/>
          <w:sz w:val="28"/>
          <w:szCs w:val="28"/>
          <w:highlight w:val="white"/>
        </w:rPr>
        <w:t xml:space="preserve"> </w:t>
      </w:r>
      <w:r>
        <w:rPr>
          <w:sz w:val="28"/>
          <w:szCs w:val="28"/>
          <w:highlight w:val="white"/>
        </w:rPr>
        <w:t xml:space="preserve">по водоснабжению; водоотведению, организации сбора и утилизации отходов, деятельности по ликвидации загрязнений за январь-май 2026 года составил 20 978,9 млн рублей или </w:t>
      </w:r>
      <w:r>
        <w:rPr>
          <w:b/>
          <w:bCs/>
          <w:sz w:val="28"/>
          <w:szCs w:val="28"/>
          <w:highlight w:val="white"/>
        </w:rPr>
        <w:t>128,5%</w:t>
      </w:r>
      <w:r>
        <w:rPr>
          <w:sz w:val="28"/>
          <w:szCs w:val="28"/>
          <w:highlight w:val="white"/>
        </w:rPr>
        <w:t xml:space="preserve"> к январю-маю 2025 года в действующих ценах. Индекс промышленного производства составил </w:t>
      </w:r>
      <w:r>
        <w:rPr>
          <w:b/>
          <w:bCs/>
          <w:sz w:val="28"/>
          <w:szCs w:val="28"/>
          <w:highlight w:val="white"/>
        </w:rPr>
        <w:t>127,7%</w:t>
      </w:r>
      <w:r>
        <w:rPr>
          <w:sz w:val="28"/>
          <w:szCs w:val="28"/>
          <w:highlight w:val="white"/>
        </w:rPr>
        <w:t xml:space="preserve">. </w:t>
      </w:r>
    </w:p>
    <w:p w:rsidR="000535AB" w:rsidRDefault="000535AB">
      <w:pPr>
        <w:ind w:firstLine="709"/>
        <w:jc w:val="both"/>
        <w:rPr>
          <w:b/>
          <w:sz w:val="28"/>
          <w:szCs w:val="28"/>
          <w:highlight w:val="white"/>
        </w:rPr>
      </w:pPr>
    </w:p>
    <w:p w:rsidR="004F0F0B" w:rsidRDefault="000535AB">
      <w:pPr>
        <w:ind w:firstLine="709"/>
        <w:jc w:val="both"/>
        <w:rPr>
          <w:sz w:val="28"/>
          <w:szCs w:val="28"/>
        </w:rPr>
      </w:pPr>
      <w:r>
        <w:rPr>
          <w:b/>
          <w:sz w:val="28"/>
          <w:szCs w:val="28"/>
          <w:highlight w:val="white"/>
        </w:rPr>
        <w:t>Объем производства продукции сельского</w:t>
      </w:r>
      <w:r>
        <w:rPr>
          <w:sz w:val="28"/>
          <w:szCs w:val="28"/>
          <w:highlight w:val="white"/>
        </w:rPr>
        <w:t xml:space="preserve"> </w:t>
      </w:r>
      <w:r>
        <w:rPr>
          <w:b/>
          <w:bCs/>
          <w:sz w:val="28"/>
          <w:szCs w:val="28"/>
          <w:highlight w:val="white"/>
        </w:rPr>
        <w:t>хозяйства</w:t>
      </w:r>
      <w:r>
        <w:rPr>
          <w:sz w:val="28"/>
          <w:szCs w:val="28"/>
          <w:highlight w:val="white"/>
        </w:rPr>
        <w:t xml:space="preserve"> в Ленинградской области в январе-мае 2026 года составил </w:t>
      </w:r>
      <w:r>
        <w:rPr>
          <w:b/>
          <w:bCs/>
          <w:sz w:val="28"/>
          <w:szCs w:val="28"/>
          <w:highlight w:val="white"/>
        </w:rPr>
        <w:t xml:space="preserve">52,5 </w:t>
      </w:r>
      <w:r>
        <w:rPr>
          <w:sz w:val="28"/>
          <w:szCs w:val="28"/>
          <w:highlight w:val="white"/>
        </w:rPr>
        <w:t xml:space="preserve">млрд рублей, что в сопоставимых ценах на </w:t>
      </w:r>
      <w:r>
        <w:rPr>
          <w:b/>
          <w:bCs/>
          <w:sz w:val="28"/>
          <w:szCs w:val="28"/>
          <w:highlight w:val="white"/>
        </w:rPr>
        <w:t xml:space="preserve">4,9% </w:t>
      </w:r>
      <w:r>
        <w:rPr>
          <w:sz w:val="28"/>
          <w:szCs w:val="28"/>
          <w:highlight w:val="white"/>
        </w:rPr>
        <w:t xml:space="preserve">выше уровня января-мая 2025 года  (с учетом 7 организаций, расположенных на территории Санкт-Петербурга). </w:t>
      </w:r>
    </w:p>
    <w:p w:rsidR="004F0F0B" w:rsidRDefault="000535AB">
      <w:pPr>
        <w:ind w:firstLine="709"/>
        <w:jc w:val="both"/>
        <w:rPr>
          <w:iCs/>
        </w:rPr>
      </w:pPr>
      <w:r>
        <w:rPr>
          <w:b/>
          <w:i/>
          <w:sz w:val="28"/>
          <w:szCs w:val="28"/>
        </w:rPr>
        <w:t xml:space="preserve">Растениеводство. </w:t>
      </w:r>
      <w:r>
        <w:rPr>
          <w:sz w:val="28"/>
          <w:szCs w:val="28"/>
        </w:rPr>
        <w:t>По предварительным данным п</w:t>
      </w:r>
      <w:r>
        <w:rPr>
          <w:iCs/>
          <w:sz w:val="28"/>
          <w:szCs w:val="28"/>
        </w:rPr>
        <w:t xml:space="preserve">о состоянию на 1 июня текущего года в хозяйствах всех категорий яровые культуры посеяны на площади 50,1 тыс. га, на 2,2% больше, чем год назад. </w:t>
      </w:r>
    </w:p>
    <w:p w:rsidR="004F0F0B" w:rsidRDefault="000535AB">
      <w:pPr>
        <w:ind w:firstLine="709"/>
        <w:jc w:val="both"/>
        <w:rPr>
          <w:szCs w:val="14"/>
        </w:rPr>
      </w:pPr>
      <w:r>
        <w:rPr>
          <w:sz w:val="28"/>
          <w:szCs w:val="28"/>
        </w:rPr>
        <w:t xml:space="preserve">К началу июня на фермеров и хозяйства населения приходилось 24,7% общих </w:t>
      </w:r>
      <w:r>
        <w:rPr>
          <w:sz w:val="28"/>
          <w:szCs w:val="28"/>
        </w:rPr>
        <w:br/>
        <w:t xml:space="preserve">посевов, в том числе 88,3% – картофеля и 84,8% – овощей. </w:t>
      </w:r>
    </w:p>
    <w:p w:rsidR="004F0F0B" w:rsidRDefault="000535AB">
      <w:pPr>
        <w:shd w:val="clear" w:color="auto" w:fill="FFFFFF" w:themeFill="background1"/>
        <w:tabs>
          <w:tab w:val="left" w:pos="1418"/>
        </w:tabs>
        <w:ind w:firstLine="709"/>
        <w:rPr>
          <w:b/>
          <w:i/>
          <w:iCs/>
          <w:sz w:val="28"/>
        </w:rPr>
      </w:pPr>
      <w:r>
        <w:rPr>
          <w:b/>
          <w:i/>
          <w:iCs/>
          <w:sz w:val="28"/>
        </w:rPr>
        <w:t>Животноводство.</w:t>
      </w:r>
    </w:p>
    <w:p w:rsidR="004F0F0B" w:rsidRDefault="004F0F0B">
      <w:pPr>
        <w:shd w:val="clear" w:color="auto" w:fill="FFFFFF" w:themeFill="background1"/>
        <w:tabs>
          <w:tab w:val="left" w:pos="1418"/>
        </w:tabs>
        <w:jc w:val="both"/>
        <w:rPr>
          <w:b/>
          <w:i/>
          <w:iCs/>
          <w:sz w:val="8"/>
          <w:highlight w:val="yellow"/>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72"/>
        <w:gridCol w:w="1420"/>
        <w:gridCol w:w="1494"/>
        <w:gridCol w:w="2049"/>
        <w:gridCol w:w="1560"/>
        <w:gridCol w:w="1526"/>
      </w:tblGrid>
      <w:tr w:rsidR="004F0F0B">
        <w:trPr>
          <w:tblHeader/>
          <w:jc w:val="center"/>
        </w:trPr>
        <w:tc>
          <w:tcPr>
            <w:tcW w:w="5070" w:type="dxa"/>
            <w:gridSpan w:val="3"/>
            <w:tcBorders>
              <w:top w:val="single" w:sz="4" w:space="0" w:color="000000"/>
              <w:left w:val="single" w:sz="4" w:space="0" w:color="000000"/>
              <w:bottom w:val="single" w:sz="4" w:space="0" w:color="000000"/>
              <w:right w:val="single" w:sz="4" w:space="0" w:color="000000"/>
            </w:tcBorders>
            <w:vAlign w:val="center"/>
          </w:tcPr>
          <w:p w:rsidR="004F0F0B" w:rsidRDefault="000535AB">
            <w:pPr>
              <w:tabs>
                <w:tab w:val="left" w:pos="708"/>
                <w:tab w:val="left" w:pos="1418"/>
              </w:tabs>
              <w:jc w:val="center"/>
              <w:rPr>
                <w:bCs/>
                <w:iCs/>
                <w:sz w:val="24"/>
                <w:szCs w:val="24"/>
                <w:highlight w:val="white"/>
              </w:rPr>
            </w:pPr>
            <w:r>
              <w:rPr>
                <w:bCs/>
                <w:iCs/>
                <w:sz w:val="24"/>
                <w:szCs w:val="24"/>
                <w:highlight w:val="white"/>
                <w:lang w:eastAsia="en-US"/>
              </w:rPr>
              <w:t>Произведено во всех категориях хозяйств</w:t>
            </w:r>
          </w:p>
        </w:tc>
        <w:tc>
          <w:tcPr>
            <w:tcW w:w="4927" w:type="dxa"/>
            <w:gridSpan w:val="3"/>
            <w:tcBorders>
              <w:top w:val="single" w:sz="4" w:space="0" w:color="000000"/>
              <w:left w:val="single" w:sz="4" w:space="0" w:color="000000"/>
              <w:bottom w:val="single" w:sz="4" w:space="0" w:color="000000"/>
              <w:right w:val="single" w:sz="4" w:space="0" w:color="000000"/>
            </w:tcBorders>
            <w:vAlign w:val="center"/>
          </w:tcPr>
          <w:p w:rsidR="004F0F0B" w:rsidRDefault="000535AB">
            <w:pPr>
              <w:tabs>
                <w:tab w:val="left" w:pos="708"/>
                <w:tab w:val="left" w:pos="1418"/>
              </w:tabs>
              <w:jc w:val="center"/>
              <w:rPr>
                <w:bCs/>
                <w:iCs/>
                <w:sz w:val="24"/>
                <w:szCs w:val="24"/>
                <w:highlight w:val="white"/>
              </w:rPr>
            </w:pPr>
            <w:r>
              <w:rPr>
                <w:bCs/>
                <w:iCs/>
                <w:sz w:val="24"/>
                <w:szCs w:val="24"/>
                <w:highlight w:val="white"/>
                <w:lang w:eastAsia="en-US"/>
              </w:rPr>
              <w:t>Продуктивность в крупных, средних и малых сельхозорганизациях</w:t>
            </w:r>
          </w:p>
        </w:tc>
      </w:tr>
      <w:tr w:rsidR="004F0F0B">
        <w:trPr>
          <w:tblHeader/>
          <w:jc w:val="center"/>
        </w:trPr>
        <w:tc>
          <w:tcPr>
            <w:tcW w:w="2275" w:type="dxa"/>
            <w:tcBorders>
              <w:top w:val="single" w:sz="4" w:space="0" w:color="000000"/>
              <w:left w:val="single" w:sz="4" w:space="0" w:color="000000"/>
              <w:bottom w:val="single" w:sz="4" w:space="0" w:color="000000"/>
              <w:right w:val="single" w:sz="4" w:space="0" w:color="000000"/>
            </w:tcBorders>
          </w:tcPr>
          <w:p w:rsidR="004F0F0B" w:rsidRDefault="004F0F0B">
            <w:pPr>
              <w:tabs>
                <w:tab w:val="left" w:pos="708"/>
                <w:tab w:val="left" w:pos="1418"/>
              </w:tabs>
              <w:jc w:val="both"/>
              <w:rPr>
                <w:bCs/>
                <w:iCs/>
                <w:sz w:val="24"/>
                <w:szCs w:val="24"/>
                <w:highlight w:val="white"/>
              </w:rPr>
            </w:pPr>
          </w:p>
        </w:tc>
        <w:tc>
          <w:tcPr>
            <w:tcW w:w="1362" w:type="dxa"/>
            <w:tcBorders>
              <w:top w:val="single" w:sz="4" w:space="0" w:color="000000"/>
              <w:left w:val="single" w:sz="4" w:space="0" w:color="000000"/>
              <w:bottom w:val="single" w:sz="4" w:space="0" w:color="000000"/>
              <w:right w:val="single" w:sz="4" w:space="0" w:color="000000"/>
            </w:tcBorders>
          </w:tcPr>
          <w:p w:rsidR="004F0F0B" w:rsidRDefault="000535AB">
            <w:pPr>
              <w:tabs>
                <w:tab w:val="left" w:pos="708"/>
                <w:tab w:val="left" w:pos="1418"/>
              </w:tabs>
              <w:jc w:val="center"/>
              <w:rPr>
                <w:bCs/>
                <w:iCs/>
                <w:sz w:val="24"/>
                <w:szCs w:val="24"/>
                <w:highlight w:val="white"/>
              </w:rPr>
            </w:pPr>
            <w:r>
              <w:rPr>
                <w:bCs/>
                <w:iCs/>
                <w:sz w:val="24"/>
                <w:szCs w:val="24"/>
                <w:highlight w:val="white"/>
                <w:lang w:eastAsia="en-US"/>
              </w:rPr>
              <w:t>январь-май 2026 г.</w:t>
            </w:r>
          </w:p>
        </w:tc>
        <w:tc>
          <w:tcPr>
            <w:tcW w:w="1433" w:type="dxa"/>
            <w:tcBorders>
              <w:top w:val="single" w:sz="4" w:space="0" w:color="000000"/>
              <w:left w:val="single" w:sz="4" w:space="0" w:color="000000"/>
              <w:bottom w:val="single" w:sz="4" w:space="0" w:color="000000"/>
              <w:right w:val="single" w:sz="4" w:space="0" w:color="000000"/>
            </w:tcBorders>
          </w:tcPr>
          <w:p w:rsidR="004F0F0B" w:rsidRDefault="000535AB">
            <w:pPr>
              <w:tabs>
                <w:tab w:val="left" w:pos="708"/>
                <w:tab w:val="left" w:pos="1418"/>
              </w:tabs>
              <w:jc w:val="center"/>
              <w:rPr>
                <w:bCs/>
                <w:iCs/>
                <w:sz w:val="24"/>
                <w:szCs w:val="24"/>
                <w:highlight w:val="white"/>
              </w:rPr>
            </w:pPr>
            <w:r>
              <w:rPr>
                <w:bCs/>
                <w:iCs/>
                <w:sz w:val="24"/>
                <w:szCs w:val="24"/>
                <w:highlight w:val="white"/>
                <w:lang w:eastAsia="en-US"/>
              </w:rPr>
              <w:t>в % к соотв. периоду 2025 г.</w:t>
            </w:r>
          </w:p>
        </w:tc>
        <w:tc>
          <w:tcPr>
            <w:tcW w:w="1966" w:type="dxa"/>
            <w:tcBorders>
              <w:top w:val="single" w:sz="4" w:space="0" w:color="000000"/>
              <w:left w:val="single" w:sz="4" w:space="0" w:color="000000"/>
              <w:bottom w:val="single" w:sz="4" w:space="0" w:color="000000"/>
              <w:right w:val="single" w:sz="4" w:space="0" w:color="000000"/>
            </w:tcBorders>
          </w:tcPr>
          <w:p w:rsidR="004F0F0B" w:rsidRDefault="004F0F0B">
            <w:pPr>
              <w:tabs>
                <w:tab w:val="left" w:pos="708"/>
                <w:tab w:val="left" w:pos="1418"/>
              </w:tabs>
              <w:jc w:val="center"/>
              <w:rPr>
                <w:bCs/>
                <w:iCs/>
                <w:sz w:val="24"/>
                <w:szCs w:val="24"/>
                <w:highlight w:val="white"/>
              </w:rPr>
            </w:pPr>
          </w:p>
        </w:tc>
        <w:tc>
          <w:tcPr>
            <w:tcW w:w="1497" w:type="dxa"/>
            <w:tcBorders>
              <w:top w:val="single" w:sz="4" w:space="0" w:color="000000"/>
              <w:left w:val="single" w:sz="4" w:space="0" w:color="000000"/>
              <w:bottom w:val="single" w:sz="4" w:space="0" w:color="000000"/>
              <w:right w:val="single" w:sz="4" w:space="0" w:color="000000"/>
            </w:tcBorders>
          </w:tcPr>
          <w:p w:rsidR="004F0F0B" w:rsidRDefault="000535AB">
            <w:pPr>
              <w:tabs>
                <w:tab w:val="left" w:pos="708"/>
                <w:tab w:val="left" w:pos="1418"/>
              </w:tabs>
              <w:jc w:val="center"/>
              <w:rPr>
                <w:bCs/>
                <w:iCs/>
                <w:sz w:val="24"/>
                <w:szCs w:val="24"/>
                <w:highlight w:val="white"/>
              </w:rPr>
            </w:pPr>
            <w:r>
              <w:rPr>
                <w:bCs/>
                <w:iCs/>
                <w:sz w:val="24"/>
                <w:szCs w:val="24"/>
                <w:highlight w:val="white"/>
                <w:lang w:eastAsia="en-US"/>
              </w:rPr>
              <w:t>январь-май</w:t>
            </w:r>
          </w:p>
          <w:p w:rsidR="004F0F0B" w:rsidRDefault="000535AB">
            <w:pPr>
              <w:tabs>
                <w:tab w:val="left" w:pos="708"/>
                <w:tab w:val="left" w:pos="1418"/>
              </w:tabs>
              <w:jc w:val="center"/>
              <w:rPr>
                <w:bCs/>
                <w:iCs/>
                <w:sz w:val="24"/>
                <w:szCs w:val="24"/>
                <w:highlight w:val="white"/>
              </w:rPr>
            </w:pPr>
            <w:r>
              <w:rPr>
                <w:bCs/>
                <w:iCs/>
                <w:sz w:val="24"/>
                <w:szCs w:val="24"/>
                <w:highlight w:val="white"/>
                <w:lang w:eastAsia="en-US"/>
              </w:rPr>
              <w:t xml:space="preserve"> 2026 г.</w:t>
            </w:r>
          </w:p>
        </w:tc>
        <w:tc>
          <w:tcPr>
            <w:tcW w:w="1464" w:type="dxa"/>
            <w:tcBorders>
              <w:top w:val="single" w:sz="4" w:space="0" w:color="000000"/>
              <w:left w:val="single" w:sz="4" w:space="0" w:color="000000"/>
              <w:bottom w:val="single" w:sz="4" w:space="0" w:color="000000"/>
              <w:right w:val="single" w:sz="4" w:space="0" w:color="000000"/>
            </w:tcBorders>
          </w:tcPr>
          <w:p w:rsidR="004F0F0B" w:rsidRDefault="000535AB">
            <w:pPr>
              <w:tabs>
                <w:tab w:val="left" w:pos="708"/>
                <w:tab w:val="left" w:pos="1418"/>
              </w:tabs>
              <w:jc w:val="center"/>
              <w:rPr>
                <w:bCs/>
                <w:iCs/>
                <w:sz w:val="24"/>
                <w:szCs w:val="24"/>
                <w:highlight w:val="white"/>
              </w:rPr>
            </w:pPr>
            <w:r>
              <w:rPr>
                <w:bCs/>
                <w:iCs/>
                <w:sz w:val="24"/>
                <w:szCs w:val="24"/>
                <w:highlight w:val="white"/>
                <w:lang w:eastAsia="en-US"/>
              </w:rPr>
              <w:t>в % к соотв. периоду 2025 г.</w:t>
            </w:r>
          </w:p>
        </w:tc>
      </w:tr>
      <w:tr w:rsidR="004F0F0B">
        <w:trPr>
          <w:trHeight w:val="780"/>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4F0F0B" w:rsidRDefault="000535AB">
            <w:pPr>
              <w:tabs>
                <w:tab w:val="left" w:pos="708"/>
                <w:tab w:val="left" w:pos="1418"/>
              </w:tabs>
              <w:rPr>
                <w:bCs/>
                <w:iCs/>
                <w:sz w:val="24"/>
                <w:szCs w:val="24"/>
                <w:highlight w:val="white"/>
              </w:rPr>
            </w:pPr>
            <w:r>
              <w:rPr>
                <w:bCs/>
                <w:iCs/>
                <w:sz w:val="24"/>
                <w:szCs w:val="24"/>
                <w:highlight w:val="white"/>
                <w:lang w:eastAsia="en-US"/>
              </w:rPr>
              <w:t>мясо (скот и птица на убой в живом весе), тыс. тонн</w:t>
            </w:r>
          </w:p>
        </w:tc>
        <w:tc>
          <w:tcPr>
            <w:tcW w:w="1362"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148,7</w:t>
            </w:r>
          </w:p>
        </w:tc>
        <w:tc>
          <w:tcPr>
            <w:tcW w:w="1433"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96,4</w:t>
            </w:r>
          </w:p>
        </w:tc>
        <w:tc>
          <w:tcPr>
            <w:tcW w:w="1966" w:type="dxa"/>
            <w:tcBorders>
              <w:top w:val="single" w:sz="4" w:space="0" w:color="000000"/>
              <w:left w:val="single" w:sz="4" w:space="0" w:color="000000"/>
              <w:right w:val="single" w:sz="4" w:space="0" w:color="000000"/>
            </w:tcBorders>
            <w:vAlign w:val="center"/>
          </w:tcPr>
          <w:p w:rsidR="004F0F0B" w:rsidRDefault="000535AB">
            <w:pPr>
              <w:tabs>
                <w:tab w:val="left" w:pos="708"/>
                <w:tab w:val="left" w:pos="1418"/>
              </w:tabs>
              <w:rPr>
                <w:bCs/>
                <w:iCs/>
                <w:sz w:val="24"/>
                <w:szCs w:val="24"/>
                <w:highlight w:val="white"/>
              </w:rPr>
            </w:pPr>
            <w:r>
              <w:rPr>
                <w:bCs/>
                <w:iCs/>
                <w:sz w:val="24"/>
                <w:szCs w:val="24"/>
                <w:highlight w:val="white"/>
                <w:lang w:eastAsia="en-US"/>
              </w:rPr>
              <w:t>надой на одну корову, кг</w:t>
            </w:r>
          </w:p>
        </w:tc>
        <w:tc>
          <w:tcPr>
            <w:tcW w:w="1497" w:type="dxa"/>
            <w:tcBorders>
              <w:top w:val="single" w:sz="4" w:space="0" w:color="000000"/>
              <w:left w:val="single" w:sz="4" w:space="0" w:color="000000"/>
              <w:right w:val="single" w:sz="4" w:space="0" w:color="000000"/>
            </w:tcBorders>
            <w:vAlign w:val="center"/>
          </w:tcPr>
          <w:p w:rsidR="004F0F0B" w:rsidRDefault="000535AB">
            <w:pPr>
              <w:jc w:val="center"/>
              <w:rPr>
                <w:sz w:val="24"/>
                <w:szCs w:val="24"/>
              </w:rPr>
            </w:pPr>
            <w:r>
              <w:rPr>
                <w:sz w:val="24"/>
                <w:szCs w:val="24"/>
              </w:rPr>
              <w:t>4568</w:t>
            </w:r>
          </w:p>
        </w:tc>
        <w:tc>
          <w:tcPr>
            <w:tcW w:w="1464" w:type="dxa"/>
            <w:tcBorders>
              <w:top w:val="single" w:sz="4" w:space="0" w:color="000000"/>
              <w:left w:val="single" w:sz="4" w:space="0" w:color="000000"/>
              <w:right w:val="single" w:sz="4" w:space="0" w:color="000000"/>
            </w:tcBorders>
            <w:vAlign w:val="center"/>
          </w:tcPr>
          <w:p w:rsidR="004F0F0B" w:rsidRDefault="000535AB">
            <w:pPr>
              <w:jc w:val="center"/>
              <w:rPr>
                <w:sz w:val="24"/>
                <w:szCs w:val="24"/>
              </w:rPr>
            </w:pPr>
            <w:r>
              <w:rPr>
                <w:sz w:val="24"/>
                <w:szCs w:val="24"/>
              </w:rPr>
              <w:t>103,5</w:t>
            </w:r>
          </w:p>
        </w:tc>
      </w:tr>
      <w:tr w:rsidR="004F0F0B">
        <w:trPr>
          <w:jc w:val="center"/>
        </w:trPr>
        <w:tc>
          <w:tcPr>
            <w:tcW w:w="2275" w:type="dxa"/>
            <w:tcBorders>
              <w:top w:val="single" w:sz="4" w:space="0" w:color="000000"/>
              <w:left w:val="single" w:sz="4" w:space="0" w:color="000000"/>
              <w:bottom w:val="single" w:sz="4" w:space="0" w:color="000000"/>
              <w:right w:val="single" w:sz="4" w:space="0" w:color="000000"/>
            </w:tcBorders>
            <w:vAlign w:val="center"/>
          </w:tcPr>
          <w:p w:rsidR="004F0F0B" w:rsidRDefault="000535AB">
            <w:pPr>
              <w:tabs>
                <w:tab w:val="left" w:pos="708"/>
                <w:tab w:val="left" w:pos="1418"/>
              </w:tabs>
              <w:rPr>
                <w:bCs/>
                <w:iCs/>
                <w:sz w:val="24"/>
                <w:szCs w:val="24"/>
                <w:highlight w:val="white"/>
              </w:rPr>
            </w:pPr>
            <w:r>
              <w:rPr>
                <w:bCs/>
                <w:iCs/>
                <w:sz w:val="24"/>
                <w:szCs w:val="24"/>
                <w:highlight w:val="white"/>
                <w:lang w:eastAsia="en-US"/>
              </w:rPr>
              <w:t>молоко, тыс. тонн</w:t>
            </w:r>
          </w:p>
        </w:tc>
        <w:tc>
          <w:tcPr>
            <w:tcW w:w="1362"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300,9</w:t>
            </w:r>
          </w:p>
        </w:tc>
        <w:tc>
          <w:tcPr>
            <w:tcW w:w="1433"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99,7</w:t>
            </w:r>
          </w:p>
        </w:tc>
        <w:tc>
          <w:tcPr>
            <w:tcW w:w="1966" w:type="dxa"/>
            <w:vMerge w:val="restart"/>
            <w:tcBorders>
              <w:top w:val="single" w:sz="4" w:space="0" w:color="000000"/>
              <w:left w:val="single" w:sz="4" w:space="0" w:color="000000"/>
              <w:right w:val="single" w:sz="4" w:space="0" w:color="000000"/>
            </w:tcBorders>
          </w:tcPr>
          <w:p w:rsidR="004F0F0B" w:rsidRDefault="000535AB">
            <w:pPr>
              <w:tabs>
                <w:tab w:val="left" w:pos="708"/>
                <w:tab w:val="left" w:pos="1418"/>
              </w:tabs>
              <w:jc w:val="both"/>
              <w:rPr>
                <w:bCs/>
                <w:iCs/>
                <w:sz w:val="24"/>
                <w:szCs w:val="24"/>
                <w:highlight w:val="white"/>
              </w:rPr>
            </w:pPr>
            <w:r>
              <w:rPr>
                <w:bCs/>
                <w:iCs/>
                <w:sz w:val="24"/>
                <w:szCs w:val="24"/>
                <w:highlight w:val="white"/>
                <w:lang w:eastAsia="en-US"/>
              </w:rPr>
              <w:t>Средняя яйценоскость одной курицы-несушки, шт.</w:t>
            </w:r>
          </w:p>
        </w:tc>
        <w:tc>
          <w:tcPr>
            <w:tcW w:w="1497" w:type="dxa"/>
            <w:vMerge w:val="restart"/>
            <w:tcBorders>
              <w:top w:val="single" w:sz="4" w:space="0" w:color="000000"/>
              <w:left w:val="single" w:sz="4" w:space="0" w:color="000000"/>
              <w:right w:val="single" w:sz="4" w:space="0" w:color="000000"/>
            </w:tcBorders>
            <w:vAlign w:val="center"/>
          </w:tcPr>
          <w:p w:rsidR="004F0F0B" w:rsidRDefault="000535AB">
            <w:pPr>
              <w:jc w:val="center"/>
              <w:rPr>
                <w:sz w:val="24"/>
                <w:szCs w:val="24"/>
              </w:rPr>
            </w:pPr>
            <w:r>
              <w:rPr>
                <w:sz w:val="24"/>
                <w:szCs w:val="24"/>
              </w:rPr>
              <w:t>133</w:t>
            </w:r>
          </w:p>
        </w:tc>
        <w:tc>
          <w:tcPr>
            <w:tcW w:w="1464" w:type="dxa"/>
            <w:vMerge w:val="restart"/>
            <w:tcBorders>
              <w:top w:val="single" w:sz="4" w:space="0" w:color="000000"/>
              <w:left w:val="single" w:sz="4" w:space="0" w:color="000000"/>
              <w:right w:val="single" w:sz="4" w:space="0" w:color="000000"/>
            </w:tcBorders>
            <w:vAlign w:val="center"/>
          </w:tcPr>
          <w:p w:rsidR="004F0F0B" w:rsidRDefault="000535AB">
            <w:pPr>
              <w:jc w:val="center"/>
              <w:rPr>
                <w:sz w:val="24"/>
                <w:szCs w:val="24"/>
              </w:rPr>
            </w:pPr>
            <w:r>
              <w:rPr>
                <w:sz w:val="24"/>
                <w:szCs w:val="24"/>
              </w:rPr>
              <w:t>103,1</w:t>
            </w:r>
          </w:p>
        </w:tc>
      </w:tr>
      <w:tr w:rsidR="004F0F0B">
        <w:trPr>
          <w:jc w:val="center"/>
        </w:trPr>
        <w:tc>
          <w:tcPr>
            <w:tcW w:w="2275" w:type="dxa"/>
            <w:tcBorders>
              <w:top w:val="single" w:sz="4" w:space="0" w:color="000000"/>
              <w:left w:val="single" w:sz="4" w:space="0" w:color="000000"/>
              <w:bottom w:val="single" w:sz="4" w:space="0" w:color="000000"/>
              <w:right w:val="single" w:sz="4" w:space="0" w:color="000000"/>
            </w:tcBorders>
          </w:tcPr>
          <w:p w:rsidR="004F0F0B" w:rsidRDefault="000535AB">
            <w:pPr>
              <w:tabs>
                <w:tab w:val="left" w:pos="708"/>
                <w:tab w:val="left" w:pos="1418"/>
              </w:tabs>
              <w:rPr>
                <w:bCs/>
                <w:iCs/>
                <w:sz w:val="24"/>
                <w:szCs w:val="24"/>
                <w:highlight w:val="white"/>
              </w:rPr>
            </w:pPr>
            <w:r>
              <w:rPr>
                <w:bCs/>
                <w:iCs/>
                <w:sz w:val="24"/>
                <w:szCs w:val="24"/>
                <w:highlight w:val="white"/>
                <w:lang w:eastAsia="en-US"/>
              </w:rPr>
              <w:t>яйцо, млн шт.</w:t>
            </w:r>
          </w:p>
        </w:tc>
        <w:tc>
          <w:tcPr>
            <w:tcW w:w="1362"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1737,7</w:t>
            </w:r>
          </w:p>
        </w:tc>
        <w:tc>
          <w:tcPr>
            <w:tcW w:w="1433" w:type="dxa"/>
            <w:tcBorders>
              <w:top w:val="single" w:sz="4" w:space="0" w:color="000000"/>
              <w:left w:val="single" w:sz="4" w:space="0" w:color="000000"/>
              <w:bottom w:val="single" w:sz="4" w:space="0" w:color="000000"/>
              <w:right w:val="single" w:sz="4" w:space="0" w:color="000000"/>
            </w:tcBorders>
            <w:vAlign w:val="center"/>
          </w:tcPr>
          <w:p w:rsidR="004F0F0B" w:rsidRDefault="000535AB">
            <w:pPr>
              <w:jc w:val="center"/>
              <w:rPr>
                <w:sz w:val="24"/>
                <w:szCs w:val="24"/>
              </w:rPr>
            </w:pPr>
            <w:r>
              <w:rPr>
                <w:sz w:val="24"/>
                <w:szCs w:val="24"/>
              </w:rPr>
              <w:t>113,6</w:t>
            </w:r>
          </w:p>
        </w:tc>
        <w:tc>
          <w:tcPr>
            <w:tcW w:w="1966" w:type="dxa"/>
            <w:vMerge/>
            <w:tcBorders>
              <w:left w:val="single" w:sz="4" w:space="0" w:color="000000"/>
              <w:bottom w:val="single" w:sz="4" w:space="0" w:color="000000"/>
              <w:right w:val="single" w:sz="4" w:space="0" w:color="000000"/>
            </w:tcBorders>
            <w:vAlign w:val="center"/>
          </w:tcPr>
          <w:p w:rsidR="004F0F0B" w:rsidRDefault="004F0F0B">
            <w:pPr>
              <w:rPr>
                <w:bCs/>
                <w:iCs/>
                <w:sz w:val="24"/>
                <w:szCs w:val="24"/>
                <w:highlight w:val="yellow"/>
                <w:lang w:eastAsia="en-US"/>
              </w:rPr>
            </w:pPr>
          </w:p>
        </w:tc>
        <w:tc>
          <w:tcPr>
            <w:tcW w:w="1497" w:type="dxa"/>
            <w:vMerge/>
            <w:tcBorders>
              <w:left w:val="single" w:sz="4" w:space="0" w:color="000000"/>
              <w:bottom w:val="single" w:sz="4" w:space="0" w:color="000000"/>
              <w:right w:val="single" w:sz="4" w:space="0" w:color="000000"/>
            </w:tcBorders>
            <w:vAlign w:val="center"/>
          </w:tcPr>
          <w:p w:rsidR="004F0F0B" w:rsidRDefault="004F0F0B">
            <w:pPr>
              <w:rPr>
                <w:bCs/>
                <w:iCs/>
                <w:sz w:val="24"/>
                <w:szCs w:val="24"/>
                <w:highlight w:val="yellow"/>
                <w:lang w:eastAsia="en-US"/>
              </w:rPr>
            </w:pPr>
          </w:p>
        </w:tc>
        <w:tc>
          <w:tcPr>
            <w:tcW w:w="1464" w:type="dxa"/>
            <w:vMerge/>
            <w:tcBorders>
              <w:left w:val="single" w:sz="4" w:space="0" w:color="000000"/>
              <w:bottom w:val="single" w:sz="4" w:space="0" w:color="000000"/>
              <w:right w:val="single" w:sz="4" w:space="0" w:color="000000"/>
            </w:tcBorders>
            <w:vAlign w:val="center"/>
          </w:tcPr>
          <w:p w:rsidR="004F0F0B" w:rsidRDefault="004F0F0B">
            <w:pPr>
              <w:rPr>
                <w:bCs/>
                <w:iCs/>
                <w:sz w:val="24"/>
                <w:szCs w:val="24"/>
                <w:highlight w:val="yellow"/>
                <w:lang w:eastAsia="en-US"/>
              </w:rPr>
            </w:pPr>
          </w:p>
        </w:tc>
      </w:tr>
    </w:tbl>
    <w:p w:rsidR="004F0F0B" w:rsidRDefault="004F0F0B">
      <w:pPr>
        <w:shd w:val="clear" w:color="auto" w:fill="FFFFFF" w:themeFill="background1"/>
        <w:tabs>
          <w:tab w:val="left" w:pos="1418"/>
        </w:tabs>
        <w:ind w:firstLine="709"/>
        <w:jc w:val="both"/>
        <w:rPr>
          <w:sz w:val="28"/>
          <w:highlight w:val="yellow"/>
        </w:rPr>
      </w:pPr>
    </w:p>
    <w:p w:rsidR="004F0F0B" w:rsidRDefault="000535AB">
      <w:pPr>
        <w:tabs>
          <w:tab w:val="left" w:pos="1418"/>
        </w:tabs>
        <w:ind w:firstLine="709"/>
        <w:jc w:val="both"/>
        <w:rPr>
          <w:sz w:val="28"/>
          <w:highlight w:val="white"/>
        </w:rPr>
      </w:pPr>
      <w:r>
        <w:rPr>
          <w:sz w:val="28"/>
          <w:highlight w:val="white"/>
        </w:rPr>
        <w:t>Хозяйствами населения и фермерами произведено 2,9% скота и птицы на убой (в живом весе), 5,6% молока и 1,5% яиц.</w:t>
      </w:r>
    </w:p>
    <w:p w:rsidR="004F0F0B" w:rsidRDefault="004F0F0B">
      <w:pPr>
        <w:tabs>
          <w:tab w:val="left" w:pos="1418"/>
        </w:tabs>
        <w:ind w:firstLine="709"/>
        <w:jc w:val="both"/>
        <w:rPr>
          <w:sz w:val="28"/>
        </w:rPr>
      </w:pPr>
    </w:p>
    <w:p w:rsidR="004F0F0B" w:rsidRDefault="000535AB">
      <w:pPr>
        <w:tabs>
          <w:tab w:val="left" w:pos="1418"/>
        </w:tabs>
        <w:ind w:firstLine="709"/>
        <w:jc w:val="both"/>
        <w:rPr>
          <w:sz w:val="28"/>
          <w:highlight w:val="white"/>
        </w:rPr>
      </w:pPr>
      <w:r>
        <w:rPr>
          <w:sz w:val="28"/>
          <w:highlight w:val="white"/>
        </w:rPr>
        <w:lastRenderedPageBreak/>
        <w:t>Всеми сельхозпроизводителями области реализовано в январе-мае 2026 года: 148,3 тыс. т мяса (скота и птицы в живом весе) или</w:t>
      </w:r>
      <w:r>
        <w:rPr>
          <w:b/>
          <w:bCs/>
          <w:sz w:val="28"/>
          <w:highlight w:val="white"/>
        </w:rPr>
        <w:t xml:space="preserve"> 95,6%</w:t>
      </w:r>
      <w:r>
        <w:rPr>
          <w:sz w:val="28"/>
          <w:highlight w:val="white"/>
        </w:rPr>
        <w:t xml:space="preserve">; 280,5 тыс. т молока или </w:t>
      </w:r>
      <w:r>
        <w:rPr>
          <w:b/>
          <w:bCs/>
          <w:sz w:val="28"/>
          <w:highlight w:val="white"/>
        </w:rPr>
        <w:t>100,9%</w:t>
      </w:r>
      <w:r>
        <w:rPr>
          <w:sz w:val="28"/>
          <w:highlight w:val="white"/>
        </w:rPr>
        <w:t xml:space="preserve">; 1 554,2 млн штук яиц или </w:t>
      </w:r>
      <w:r>
        <w:rPr>
          <w:b/>
          <w:bCs/>
          <w:sz w:val="28"/>
          <w:highlight w:val="white"/>
        </w:rPr>
        <w:t>119,9%</w:t>
      </w:r>
      <w:r>
        <w:rPr>
          <w:sz w:val="28"/>
          <w:highlight w:val="white"/>
        </w:rPr>
        <w:t xml:space="preserve"> к январю-маю 2025 года.</w:t>
      </w:r>
    </w:p>
    <w:p w:rsidR="004F0F0B" w:rsidRDefault="004F0F0B">
      <w:pPr>
        <w:tabs>
          <w:tab w:val="left" w:pos="1418"/>
        </w:tabs>
        <w:ind w:firstLine="709"/>
        <w:jc w:val="both"/>
        <w:rPr>
          <w:sz w:val="28"/>
        </w:rPr>
      </w:pPr>
    </w:p>
    <w:p w:rsidR="004F0F0B" w:rsidRDefault="000535AB">
      <w:pPr>
        <w:tabs>
          <w:tab w:val="left" w:pos="1418"/>
        </w:tabs>
        <w:jc w:val="center"/>
        <w:rPr>
          <w:b/>
          <w:i/>
          <w:iCs/>
          <w:sz w:val="28"/>
          <w:highlight w:val="white"/>
        </w:rPr>
      </w:pPr>
      <w:r>
        <w:rPr>
          <w:b/>
          <w:i/>
          <w:iCs/>
          <w:sz w:val="28"/>
          <w:highlight w:val="white"/>
        </w:rPr>
        <w:t>Поголовье в хозяйствах всех категорий</w:t>
      </w:r>
    </w:p>
    <w:p w:rsidR="004F0F0B" w:rsidRDefault="000535AB">
      <w:pPr>
        <w:tabs>
          <w:tab w:val="left" w:pos="1418"/>
        </w:tabs>
        <w:jc w:val="center"/>
        <w:rPr>
          <w:b/>
          <w:i/>
          <w:iCs/>
          <w:sz w:val="28"/>
          <w:highlight w:val="white"/>
        </w:rPr>
      </w:pPr>
      <w:r>
        <w:rPr>
          <w:b/>
          <w:i/>
          <w:iCs/>
          <w:sz w:val="28"/>
          <w:highlight w:val="white"/>
        </w:rPr>
        <w:t>(по состоянию на 1 июня 2026 года)</w:t>
      </w:r>
    </w:p>
    <w:p w:rsidR="004F0F0B" w:rsidRDefault="004F0F0B">
      <w:pPr>
        <w:tabs>
          <w:tab w:val="left" w:pos="1418"/>
        </w:tabs>
        <w:jc w:val="center"/>
        <w:rPr>
          <w:b/>
          <w:i/>
          <w:iCs/>
          <w:sz w:val="14"/>
          <w:highlight w:val="whit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0"/>
        <w:gridCol w:w="2345"/>
        <w:gridCol w:w="4788"/>
      </w:tblGrid>
      <w:tr w:rsidR="004F0F0B">
        <w:trPr>
          <w:jc w:val="center"/>
        </w:trPr>
        <w:tc>
          <w:tcPr>
            <w:tcW w:w="3081" w:type="dxa"/>
            <w:tcBorders>
              <w:top w:val="single" w:sz="4" w:space="0" w:color="000000"/>
              <w:left w:val="single" w:sz="4" w:space="0" w:color="000000"/>
              <w:bottom w:val="single" w:sz="4" w:space="0" w:color="000000"/>
              <w:right w:val="single" w:sz="4" w:space="0" w:color="000000"/>
            </w:tcBorders>
          </w:tcPr>
          <w:p w:rsidR="004F0F0B" w:rsidRDefault="004F0F0B">
            <w:pPr>
              <w:tabs>
                <w:tab w:val="left" w:pos="708"/>
                <w:tab w:val="left" w:pos="1418"/>
              </w:tabs>
              <w:spacing w:line="276" w:lineRule="auto"/>
              <w:jc w:val="both"/>
              <w:rPr>
                <w:bCs/>
                <w:iCs/>
                <w:sz w:val="24"/>
                <w:szCs w:val="24"/>
                <w:highlight w:val="white"/>
              </w:rPr>
            </w:pPr>
          </w:p>
        </w:tc>
        <w:tc>
          <w:tcPr>
            <w:tcW w:w="2345" w:type="dxa"/>
            <w:tcBorders>
              <w:top w:val="single" w:sz="4" w:space="0" w:color="000000"/>
              <w:left w:val="single" w:sz="4" w:space="0" w:color="000000"/>
              <w:bottom w:val="single" w:sz="4" w:space="0" w:color="000000"/>
              <w:right w:val="single" w:sz="4" w:space="0" w:color="000000"/>
            </w:tcBorders>
          </w:tcPr>
          <w:p w:rsidR="004F0F0B" w:rsidRDefault="000535AB">
            <w:pPr>
              <w:tabs>
                <w:tab w:val="left" w:pos="708"/>
                <w:tab w:val="left" w:pos="1418"/>
              </w:tabs>
              <w:spacing w:line="276" w:lineRule="auto"/>
              <w:jc w:val="center"/>
              <w:rPr>
                <w:bCs/>
                <w:iCs/>
                <w:sz w:val="24"/>
                <w:szCs w:val="24"/>
                <w:highlight w:val="white"/>
              </w:rPr>
            </w:pPr>
            <w:r>
              <w:rPr>
                <w:bCs/>
                <w:iCs/>
                <w:sz w:val="24"/>
                <w:szCs w:val="24"/>
                <w:highlight w:val="white"/>
                <w:lang w:eastAsia="en-US"/>
              </w:rPr>
              <w:t>Тыс. голов</w:t>
            </w:r>
          </w:p>
        </w:tc>
        <w:tc>
          <w:tcPr>
            <w:tcW w:w="4788" w:type="dxa"/>
            <w:tcBorders>
              <w:top w:val="single" w:sz="4" w:space="0" w:color="000000"/>
              <w:left w:val="single" w:sz="4" w:space="0" w:color="000000"/>
              <w:bottom w:val="single" w:sz="4" w:space="0" w:color="000000"/>
              <w:right w:val="single" w:sz="4" w:space="0" w:color="000000"/>
            </w:tcBorders>
          </w:tcPr>
          <w:p w:rsidR="004F0F0B" w:rsidRDefault="000535AB">
            <w:pPr>
              <w:tabs>
                <w:tab w:val="left" w:pos="708"/>
                <w:tab w:val="left" w:pos="1418"/>
              </w:tabs>
              <w:spacing w:line="276" w:lineRule="auto"/>
              <w:jc w:val="center"/>
              <w:rPr>
                <w:bCs/>
                <w:iCs/>
                <w:sz w:val="24"/>
                <w:szCs w:val="24"/>
                <w:highlight w:val="white"/>
              </w:rPr>
            </w:pPr>
            <w:r>
              <w:rPr>
                <w:bCs/>
                <w:iCs/>
                <w:sz w:val="24"/>
                <w:szCs w:val="24"/>
                <w:highlight w:val="white"/>
                <w:lang w:eastAsia="en-US"/>
              </w:rPr>
              <w:t>в % к аналогичному периоду 2025 г.</w:t>
            </w:r>
          </w:p>
        </w:tc>
      </w:tr>
      <w:tr w:rsidR="004F0F0B">
        <w:trPr>
          <w:jc w:val="center"/>
        </w:trPr>
        <w:tc>
          <w:tcPr>
            <w:tcW w:w="3081" w:type="dxa"/>
            <w:tcBorders>
              <w:top w:val="single" w:sz="4" w:space="0" w:color="000000"/>
              <w:left w:val="single" w:sz="4" w:space="0" w:color="000000"/>
              <w:bottom w:val="single" w:sz="4" w:space="0" w:color="000000"/>
              <w:right w:val="single" w:sz="4" w:space="0" w:color="000000"/>
            </w:tcBorders>
          </w:tcPr>
          <w:p w:rsidR="004F0F0B" w:rsidRDefault="000535AB">
            <w:pPr>
              <w:tabs>
                <w:tab w:val="left" w:pos="708"/>
                <w:tab w:val="left" w:pos="1418"/>
              </w:tabs>
              <w:spacing w:line="276" w:lineRule="auto"/>
              <w:jc w:val="both"/>
              <w:rPr>
                <w:bCs/>
                <w:iCs/>
                <w:sz w:val="24"/>
                <w:szCs w:val="24"/>
                <w:highlight w:val="white"/>
              </w:rPr>
            </w:pPr>
            <w:r>
              <w:rPr>
                <w:bCs/>
                <w:iCs/>
                <w:sz w:val="24"/>
                <w:szCs w:val="24"/>
                <w:highlight w:val="white"/>
                <w:lang w:eastAsia="en-US"/>
              </w:rPr>
              <w:t>Крупный рогатый скот</w:t>
            </w:r>
          </w:p>
        </w:tc>
        <w:tc>
          <w:tcPr>
            <w:tcW w:w="2345" w:type="dxa"/>
            <w:tcBorders>
              <w:top w:val="single" w:sz="4" w:space="0" w:color="000000"/>
              <w:left w:val="single" w:sz="4" w:space="0" w:color="000000"/>
              <w:bottom w:val="single" w:sz="4" w:space="0" w:color="000000"/>
              <w:right w:val="single" w:sz="4" w:space="0" w:color="000000"/>
            </w:tcBorders>
          </w:tcPr>
          <w:p w:rsidR="004F0F0B" w:rsidRDefault="000535AB">
            <w:pPr>
              <w:jc w:val="center"/>
              <w:rPr>
                <w:sz w:val="24"/>
                <w:szCs w:val="24"/>
                <w:highlight w:val="white"/>
              </w:rPr>
            </w:pPr>
            <w:r>
              <w:rPr>
                <w:sz w:val="24"/>
                <w:szCs w:val="24"/>
              </w:rPr>
              <w:t>186,5</w:t>
            </w:r>
          </w:p>
        </w:tc>
        <w:tc>
          <w:tcPr>
            <w:tcW w:w="4788" w:type="dxa"/>
            <w:tcBorders>
              <w:top w:val="single" w:sz="4" w:space="0" w:color="000000"/>
              <w:left w:val="single" w:sz="4" w:space="0" w:color="000000"/>
              <w:bottom w:val="single" w:sz="4" w:space="0" w:color="000000"/>
              <w:right w:val="single" w:sz="4" w:space="0" w:color="000000"/>
            </w:tcBorders>
          </w:tcPr>
          <w:p w:rsidR="004F0F0B" w:rsidRDefault="000535AB">
            <w:pPr>
              <w:jc w:val="center"/>
              <w:rPr>
                <w:sz w:val="24"/>
                <w:szCs w:val="24"/>
                <w:highlight w:val="white"/>
              </w:rPr>
            </w:pPr>
            <w:r>
              <w:rPr>
                <w:sz w:val="24"/>
                <w:szCs w:val="24"/>
              </w:rPr>
              <w:t>99,7</w:t>
            </w:r>
          </w:p>
        </w:tc>
      </w:tr>
      <w:tr w:rsidR="004F0F0B">
        <w:trPr>
          <w:jc w:val="center"/>
        </w:trPr>
        <w:tc>
          <w:tcPr>
            <w:tcW w:w="3081" w:type="dxa"/>
            <w:tcBorders>
              <w:top w:val="single" w:sz="4" w:space="0" w:color="000000"/>
              <w:left w:val="single" w:sz="4" w:space="0" w:color="000000"/>
              <w:bottom w:val="single" w:sz="4" w:space="0" w:color="000000"/>
              <w:right w:val="single" w:sz="4" w:space="0" w:color="000000"/>
            </w:tcBorders>
          </w:tcPr>
          <w:p w:rsidR="004F0F0B" w:rsidRDefault="000535AB">
            <w:pPr>
              <w:tabs>
                <w:tab w:val="left" w:pos="708"/>
                <w:tab w:val="left" w:pos="1418"/>
              </w:tabs>
              <w:spacing w:line="276" w:lineRule="auto"/>
              <w:jc w:val="both"/>
              <w:rPr>
                <w:bCs/>
                <w:iCs/>
                <w:sz w:val="24"/>
                <w:szCs w:val="24"/>
                <w:highlight w:val="white"/>
              </w:rPr>
            </w:pPr>
            <w:r>
              <w:rPr>
                <w:bCs/>
                <w:iCs/>
                <w:sz w:val="24"/>
                <w:szCs w:val="24"/>
                <w:highlight w:val="white"/>
                <w:lang w:eastAsia="en-US"/>
              </w:rPr>
              <w:t xml:space="preserve">Свиньи </w:t>
            </w:r>
          </w:p>
        </w:tc>
        <w:tc>
          <w:tcPr>
            <w:tcW w:w="2345" w:type="dxa"/>
            <w:tcBorders>
              <w:top w:val="single" w:sz="4" w:space="0" w:color="000000"/>
              <w:left w:val="single" w:sz="4" w:space="0" w:color="000000"/>
              <w:bottom w:val="single" w:sz="4" w:space="0" w:color="000000"/>
              <w:right w:val="single" w:sz="4" w:space="0" w:color="000000"/>
            </w:tcBorders>
          </w:tcPr>
          <w:p w:rsidR="004F0F0B" w:rsidRDefault="000535AB">
            <w:pPr>
              <w:jc w:val="center"/>
              <w:rPr>
                <w:sz w:val="24"/>
                <w:szCs w:val="24"/>
                <w:highlight w:val="white"/>
              </w:rPr>
            </w:pPr>
            <w:r>
              <w:rPr>
                <w:sz w:val="24"/>
                <w:szCs w:val="24"/>
              </w:rPr>
              <w:t>183,8</w:t>
            </w:r>
          </w:p>
        </w:tc>
        <w:tc>
          <w:tcPr>
            <w:tcW w:w="4788" w:type="dxa"/>
            <w:tcBorders>
              <w:top w:val="single" w:sz="4" w:space="0" w:color="000000"/>
              <w:left w:val="single" w:sz="4" w:space="0" w:color="000000"/>
              <w:bottom w:val="single" w:sz="4" w:space="0" w:color="000000"/>
              <w:right w:val="single" w:sz="4" w:space="0" w:color="000000"/>
            </w:tcBorders>
          </w:tcPr>
          <w:p w:rsidR="004F0F0B" w:rsidRDefault="000535AB">
            <w:pPr>
              <w:jc w:val="center"/>
              <w:rPr>
                <w:sz w:val="24"/>
                <w:szCs w:val="24"/>
                <w:highlight w:val="white"/>
              </w:rPr>
            </w:pPr>
            <w:r>
              <w:rPr>
                <w:sz w:val="24"/>
                <w:szCs w:val="24"/>
              </w:rPr>
              <w:t>100,1</w:t>
            </w:r>
          </w:p>
        </w:tc>
      </w:tr>
      <w:tr w:rsidR="004F0F0B">
        <w:trPr>
          <w:jc w:val="center"/>
        </w:trPr>
        <w:tc>
          <w:tcPr>
            <w:tcW w:w="3081" w:type="dxa"/>
            <w:tcBorders>
              <w:top w:val="single" w:sz="4" w:space="0" w:color="000000"/>
              <w:left w:val="single" w:sz="4" w:space="0" w:color="000000"/>
              <w:bottom w:val="single" w:sz="4" w:space="0" w:color="000000"/>
              <w:right w:val="single" w:sz="4" w:space="0" w:color="000000"/>
            </w:tcBorders>
          </w:tcPr>
          <w:p w:rsidR="004F0F0B" w:rsidRDefault="000535AB">
            <w:pPr>
              <w:tabs>
                <w:tab w:val="left" w:pos="708"/>
                <w:tab w:val="left" w:pos="1418"/>
              </w:tabs>
              <w:spacing w:line="276" w:lineRule="auto"/>
              <w:jc w:val="both"/>
              <w:rPr>
                <w:bCs/>
                <w:iCs/>
                <w:sz w:val="24"/>
                <w:szCs w:val="24"/>
                <w:highlight w:val="white"/>
              </w:rPr>
            </w:pPr>
            <w:r>
              <w:rPr>
                <w:bCs/>
                <w:iCs/>
                <w:sz w:val="24"/>
                <w:szCs w:val="24"/>
                <w:highlight w:val="white"/>
                <w:lang w:eastAsia="en-US"/>
              </w:rPr>
              <w:t>Птица (млн  голов)</w:t>
            </w:r>
          </w:p>
        </w:tc>
        <w:tc>
          <w:tcPr>
            <w:tcW w:w="2345" w:type="dxa"/>
            <w:tcBorders>
              <w:top w:val="single" w:sz="4" w:space="0" w:color="000000"/>
              <w:left w:val="single" w:sz="4" w:space="0" w:color="000000"/>
              <w:bottom w:val="single" w:sz="4" w:space="0" w:color="000000"/>
              <w:right w:val="single" w:sz="4" w:space="0" w:color="000000"/>
            </w:tcBorders>
          </w:tcPr>
          <w:p w:rsidR="004F0F0B" w:rsidRDefault="000535AB">
            <w:pPr>
              <w:jc w:val="center"/>
              <w:rPr>
                <w:sz w:val="24"/>
                <w:szCs w:val="24"/>
                <w:highlight w:val="white"/>
              </w:rPr>
            </w:pPr>
            <w:r>
              <w:rPr>
                <w:sz w:val="24"/>
                <w:szCs w:val="24"/>
              </w:rPr>
              <w:t>33,4</w:t>
            </w:r>
          </w:p>
        </w:tc>
        <w:tc>
          <w:tcPr>
            <w:tcW w:w="4788" w:type="dxa"/>
            <w:tcBorders>
              <w:top w:val="single" w:sz="4" w:space="0" w:color="000000"/>
              <w:left w:val="single" w:sz="4" w:space="0" w:color="000000"/>
              <w:bottom w:val="single" w:sz="4" w:space="0" w:color="000000"/>
              <w:right w:val="single" w:sz="4" w:space="0" w:color="000000"/>
            </w:tcBorders>
          </w:tcPr>
          <w:p w:rsidR="004F0F0B" w:rsidRDefault="000535AB">
            <w:pPr>
              <w:jc w:val="center"/>
              <w:rPr>
                <w:sz w:val="24"/>
                <w:szCs w:val="24"/>
                <w:highlight w:val="white"/>
              </w:rPr>
            </w:pPr>
            <w:r>
              <w:rPr>
                <w:sz w:val="24"/>
                <w:szCs w:val="24"/>
              </w:rPr>
              <w:t>98,4</w:t>
            </w:r>
          </w:p>
        </w:tc>
      </w:tr>
    </w:tbl>
    <w:p w:rsidR="004F0F0B" w:rsidRDefault="004F0F0B">
      <w:pPr>
        <w:widowControl w:val="0"/>
        <w:tabs>
          <w:tab w:val="left" w:pos="2851"/>
        </w:tabs>
        <w:jc w:val="both"/>
        <w:rPr>
          <w:sz w:val="28"/>
          <w:szCs w:val="28"/>
          <w:highlight w:val="yellow"/>
        </w:rPr>
      </w:pPr>
    </w:p>
    <w:p w:rsidR="004F0F0B" w:rsidRDefault="000535AB">
      <w:pPr>
        <w:widowControl w:val="0"/>
        <w:shd w:val="clear" w:color="FFFFFF" w:themeColor="background1" w:fill="FFFFFF" w:themeFill="background1"/>
        <w:tabs>
          <w:tab w:val="left" w:pos="2851"/>
        </w:tabs>
        <w:ind w:firstLine="709"/>
        <w:jc w:val="both"/>
        <w:rPr>
          <w:sz w:val="28"/>
          <w:szCs w:val="28"/>
          <w:highlight w:val="white"/>
        </w:rPr>
      </w:pPr>
      <w:r>
        <w:rPr>
          <w:sz w:val="28"/>
          <w:szCs w:val="28"/>
          <w:highlight w:val="white"/>
        </w:rPr>
        <w:t>К концу мая 2026 года на хозяйства населения и фермеров приходилось 13,2% поголовья крупного рогатого скота, 3,1% – свиней, 78,1% – овец и коз.</w:t>
      </w:r>
    </w:p>
    <w:p w:rsidR="004F0F0B" w:rsidRDefault="004F0F0B">
      <w:pPr>
        <w:widowControl w:val="0"/>
        <w:shd w:val="clear" w:color="FFFFFF" w:themeColor="background1" w:fill="FFFFFF" w:themeFill="background1"/>
        <w:ind w:firstLine="709"/>
        <w:jc w:val="both"/>
        <w:rPr>
          <w:b/>
          <w:sz w:val="28"/>
          <w:szCs w:val="28"/>
          <w:highlight w:val="yellow"/>
        </w:rPr>
      </w:pPr>
    </w:p>
    <w:p w:rsidR="004F0F0B" w:rsidRDefault="000535AB">
      <w:pPr>
        <w:widowControl w:val="0"/>
        <w:shd w:val="clear" w:color="FFFFFF" w:themeColor="background1" w:fill="FFFFFF" w:themeFill="background1"/>
        <w:ind w:firstLine="709"/>
        <w:jc w:val="both"/>
        <w:rPr>
          <w:sz w:val="28"/>
          <w:szCs w:val="28"/>
        </w:rPr>
      </w:pPr>
      <w:r>
        <w:rPr>
          <w:sz w:val="28"/>
          <w:szCs w:val="28"/>
        </w:rPr>
        <w:t xml:space="preserve">Объем услуг по виду экономической деятельности </w:t>
      </w:r>
      <w:r w:rsidRPr="000535AB">
        <w:rPr>
          <w:b/>
          <w:bCs/>
          <w:iCs/>
          <w:sz w:val="28"/>
          <w:szCs w:val="28"/>
        </w:rPr>
        <w:t>«транспортировка и хранение»</w:t>
      </w:r>
      <w:r>
        <w:rPr>
          <w:b/>
          <w:bCs/>
          <w:i/>
          <w:iCs/>
          <w:sz w:val="28"/>
          <w:szCs w:val="28"/>
        </w:rPr>
        <w:t xml:space="preserve"> </w:t>
      </w:r>
      <w:r>
        <w:rPr>
          <w:sz w:val="28"/>
          <w:szCs w:val="28"/>
        </w:rPr>
        <w:t xml:space="preserve">(без субъектов малого предпринимательства) в январе–мае 2026 года составил 133,4 млрд рублей и в действующих ценах уменьшился по сравнению с январем–маем 2025 года на </w:t>
      </w:r>
      <w:r>
        <w:rPr>
          <w:b/>
          <w:bCs/>
          <w:sz w:val="28"/>
          <w:szCs w:val="28"/>
        </w:rPr>
        <w:t>6,2%</w:t>
      </w:r>
      <w:r>
        <w:rPr>
          <w:sz w:val="28"/>
          <w:szCs w:val="28"/>
        </w:rPr>
        <w:t>.</w:t>
      </w:r>
    </w:p>
    <w:p w:rsidR="004F0F0B" w:rsidRDefault="000535AB">
      <w:pPr>
        <w:shd w:val="clear" w:color="FFFFFF" w:themeColor="background1" w:fill="FFFFFF" w:themeFill="background1"/>
        <w:tabs>
          <w:tab w:val="left" w:pos="0"/>
        </w:tabs>
        <w:ind w:firstLine="709"/>
        <w:jc w:val="both"/>
        <w:rPr>
          <w:sz w:val="28"/>
          <w:szCs w:val="28"/>
        </w:rPr>
      </w:pPr>
      <w:r>
        <w:rPr>
          <w:sz w:val="28"/>
          <w:szCs w:val="28"/>
        </w:rPr>
        <w:t xml:space="preserve">По оперативным данным, полученным от Октябрьской железной дороги - филиала ОАО «РЖД», объем погрузки предприятиями – грузоотправителями области в январе-мае 2026 года составил  9 037,0  тонн, снижение погрузки на </w:t>
      </w:r>
      <w:r>
        <w:rPr>
          <w:b/>
          <w:bCs/>
          <w:sz w:val="28"/>
          <w:szCs w:val="28"/>
        </w:rPr>
        <w:t>9,6%</w:t>
      </w:r>
      <w:r>
        <w:rPr>
          <w:sz w:val="28"/>
          <w:szCs w:val="28"/>
        </w:rPr>
        <w:t xml:space="preserve"> к январю-маю 2025 года (9 998,0 тонн).</w:t>
      </w:r>
    </w:p>
    <w:p w:rsidR="004F0F0B" w:rsidRDefault="000535AB">
      <w:pPr>
        <w:shd w:val="clear" w:color="FFFFFF" w:themeColor="background1" w:fill="FFFFFF" w:themeFill="background1"/>
        <w:tabs>
          <w:tab w:val="left" w:pos="0"/>
        </w:tabs>
        <w:ind w:firstLine="709"/>
        <w:jc w:val="both"/>
        <w:rPr>
          <w:sz w:val="28"/>
          <w:szCs w:val="28"/>
        </w:rPr>
      </w:pPr>
      <w:r>
        <w:rPr>
          <w:sz w:val="28"/>
          <w:szCs w:val="28"/>
        </w:rPr>
        <w:t>Согласно отчета ОАО «Северо-Западная пригородная пассажирская компания» за январь - май 2026 года количество пассажиров, перевезенных в Ленинградской области, составило 19 094,0 тыс. человек (</w:t>
      </w:r>
      <w:r>
        <w:rPr>
          <w:b/>
          <w:sz w:val="28"/>
        </w:rPr>
        <w:t>100%</w:t>
      </w:r>
      <w:r>
        <w:rPr>
          <w:sz w:val="28"/>
          <w:szCs w:val="28"/>
        </w:rPr>
        <w:t xml:space="preserve"> к январю-маю 2025 года) при общем пассажирообороте 1 391,0 млн пасс. - км (</w:t>
      </w:r>
      <w:r>
        <w:rPr>
          <w:b/>
          <w:bCs/>
          <w:sz w:val="28"/>
          <w:szCs w:val="28"/>
        </w:rPr>
        <w:t>103,0%</w:t>
      </w:r>
      <w:r>
        <w:rPr>
          <w:sz w:val="28"/>
          <w:szCs w:val="28"/>
        </w:rPr>
        <w:t xml:space="preserve"> к к январю-маю 2025 года). </w:t>
      </w:r>
    </w:p>
    <w:p w:rsidR="004F0F0B" w:rsidRDefault="000535AB">
      <w:pPr>
        <w:shd w:val="clear" w:color="FFFFFF" w:themeColor="background1" w:fill="FFFFFF" w:themeFill="background1"/>
        <w:tabs>
          <w:tab w:val="left" w:pos="0"/>
        </w:tabs>
        <w:ind w:firstLine="709"/>
        <w:jc w:val="both"/>
        <w:rPr>
          <w:sz w:val="28"/>
          <w:szCs w:val="28"/>
        </w:rPr>
      </w:pPr>
      <w:r>
        <w:rPr>
          <w:rFonts w:eastAsia="Calibri"/>
          <w:sz w:val="28"/>
          <w:szCs w:val="28"/>
        </w:rPr>
        <w:t xml:space="preserve">В январе-мае 2026 года </w:t>
      </w:r>
      <w:r>
        <w:rPr>
          <w:rFonts w:eastAsia="Calibri"/>
          <w:i/>
          <w:iCs/>
          <w:sz w:val="28"/>
          <w:szCs w:val="28"/>
        </w:rPr>
        <w:t>автомобильным транспортом организаций</w:t>
      </w:r>
      <w:r>
        <w:rPr>
          <w:rFonts w:eastAsia="Calibri"/>
          <w:sz w:val="28"/>
          <w:szCs w:val="28"/>
        </w:rPr>
        <w:t xml:space="preserve"> (без субъектов малого предпринимательства) перевезено </w:t>
      </w:r>
      <w:r>
        <w:rPr>
          <w:rFonts w:eastAsia="Calibri"/>
          <w:sz w:val="28"/>
          <w:szCs w:val="28"/>
          <w:highlight w:val="white"/>
        </w:rPr>
        <w:t xml:space="preserve">3,7 млн тонн грузов, что на </w:t>
      </w:r>
      <w:r>
        <w:rPr>
          <w:rFonts w:eastAsia="Calibri"/>
          <w:b/>
          <w:bCs/>
          <w:sz w:val="28"/>
          <w:szCs w:val="28"/>
          <w:highlight w:val="white"/>
        </w:rPr>
        <w:t xml:space="preserve">0,3% </w:t>
      </w:r>
      <w:r>
        <w:rPr>
          <w:rFonts w:eastAsia="Calibri"/>
          <w:sz w:val="28"/>
          <w:szCs w:val="28"/>
          <w:highlight w:val="white"/>
        </w:rPr>
        <w:t xml:space="preserve">меньше, чем в январе-мае 2025 года. Объем грузоперевозок, выполненных на коммерческой основе, составил 1,4 млн тонн грузов (на </w:t>
      </w:r>
      <w:r>
        <w:rPr>
          <w:rFonts w:eastAsia="Calibri"/>
          <w:b/>
          <w:bCs/>
          <w:sz w:val="28"/>
          <w:szCs w:val="28"/>
          <w:highlight w:val="white"/>
        </w:rPr>
        <w:t>7,6%</w:t>
      </w:r>
      <w:r>
        <w:rPr>
          <w:rFonts w:eastAsia="Calibri"/>
          <w:sz w:val="28"/>
          <w:szCs w:val="28"/>
          <w:highlight w:val="white"/>
        </w:rPr>
        <w:t xml:space="preserve"> больше).</w:t>
      </w:r>
    </w:p>
    <w:p w:rsidR="004F0F0B" w:rsidRDefault="000535AB">
      <w:pPr>
        <w:shd w:val="clear" w:color="FFFFFF" w:themeColor="background1" w:fill="FFFFFF" w:themeFill="background1"/>
        <w:tabs>
          <w:tab w:val="left" w:pos="2851"/>
        </w:tabs>
        <w:ind w:firstLine="709"/>
        <w:jc w:val="both"/>
        <w:rPr>
          <w:rFonts w:eastAsia="Calibri"/>
          <w:i/>
          <w:iCs/>
          <w:sz w:val="28"/>
          <w:szCs w:val="28"/>
        </w:rPr>
      </w:pPr>
      <w:r>
        <w:rPr>
          <w:sz w:val="28"/>
          <w:szCs w:val="28"/>
        </w:rPr>
        <w:t xml:space="preserve">За январь-май 2026 года </w:t>
      </w:r>
      <w:r>
        <w:rPr>
          <w:i/>
          <w:iCs/>
          <w:sz w:val="28"/>
          <w:szCs w:val="28"/>
        </w:rPr>
        <w:t xml:space="preserve">автобусами по маршрутам регулярных перевозок </w:t>
      </w:r>
      <w:r>
        <w:rPr>
          <w:sz w:val="28"/>
          <w:szCs w:val="28"/>
        </w:rPr>
        <w:t xml:space="preserve">перевезено 29,9 млн пассажиров, что на </w:t>
      </w:r>
      <w:r>
        <w:rPr>
          <w:b/>
          <w:bCs/>
          <w:sz w:val="28"/>
          <w:szCs w:val="28"/>
        </w:rPr>
        <w:t xml:space="preserve">15,6% </w:t>
      </w:r>
      <w:r>
        <w:rPr>
          <w:sz w:val="28"/>
          <w:szCs w:val="28"/>
        </w:rPr>
        <w:t xml:space="preserve">выше уровня января-мая 2025 года. Пассажирооборот увеличился на </w:t>
      </w:r>
      <w:r>
        <w:rPr>
          <w:b/>
          <w:bCs/>
          <w:sz w:val="28"/>
          <w:szCs w:val="28"/>
        </w:rPr>
        <w:t xml:space="preserve">28,3% </w:t>
      </w:r>
      <w:r>
        <w:rPr>
          <w:sz w:val="28"/>
          <w:szCs w:val="28"/>
        </w:rPr>
        <w:t xml:space="preserve">и составил 517,5 млн пасс-км. </w:t>
      </w:r>
    </w:p>
    <w:p w:rsidR="004F0F0B" w:rsidRDefault="000535AB">
      <w:pPr>
        <w:shd w:val="clear" w:color="FFFFFF" w:themeColor="background1" w:fill="FFFFFF" w:themeFill="background1"/>
        <w:ind w:firstLine="709"/>
        <w:jc w:val="both"/>
        <w:rPr>
          <w:rFonts w:eastAsia="Calibri"/>
          <w:sz w:val="28"/>
          <w:szCs w:val="28"/>
        </w:rPr>
      </w:pPr>
      <w:r>
        <w:rPr>
          <w:rFonts w:eastAsia="Calibri"/>
          <w:sz w:val="28"/>
          <w:szCs w:val="28"/>
        </w:rPr>
        <w:t xml:space="preserve">По сведениям Северо-Западного бассейнового филиала ФГУП «Росморпорт», объем перегрузки грузов в морских портах, расположенных в Ленинградской области, в январе-мае 2026 года составил </w:t>
      </w:r>
      <w:r>
        <w:rPr>
          <w:rFonts w:eastAsiaTheme="minorHAnsi"/>
          <w:b/>
          <w:bCs/>
          <w:color w:val="000000"/>
          <w:sz w:val="28"/>
          <w:szCs w:val="28"/>
          <w:lang w:eastAsia="en-US"/>
        </w:rPr>
        <w:t xml:space="preserve">75 874,7 </w:t>
      </w:r>
      <w:r>
        <w:rPr>
          <w:rFonts w:eastAsia="Calibri"/>
          <w:sz w:val="28"/>
          <w:szCs w:val="28"/>
        </w:rPr>
        <w:t xml:space="preserve">тыс. тонн, или </w:t>
      </w:r>
      <w:r>
        <w:rPr>
          <w:rFonts w:eastAsia="Calibri"/>
          <w:b/>
          <w:sz w:val="28"/>
          <w:szCs w:val="28"/>
          <w:lang w:eastAsia="en-US"/>
        </w:rPr>
        <w:t>100</w:t>
      </w:r>
      <w:r>
        <w:rPr>
          <w:rFonts w:eastAsia="Calibri"/>
          <w:b/>
          <w:sz w:val="28"/>
          <w:szCs w:val="28"/>
          <w:highlight w:val="white"/>
          <w:lang w:eastAsia="en-US"/>
        </w:rPr>
        <w:t>,3</w:t>
      </w:r>
      <w:r>
        <w:rPr>
          <w:rFonts w:eastAsia="Calibri"/>
          <w:sz w:val="28"/>
          <w:szCs w:val="28"/>
          <w:highlight w:val="white"/>
        </w:rPr>
        <w:t>%</w:t>
      </w:r>
      <w:r>
        <w:rPr>
          <w:rFonts w:eastAsia="Calibri"/>
          <w:sz w:val="28"/>
          <w:szCs w:val="28"/>
        </w:rPr>
        <w:br/>
        <w:t>к январю-маю 2025 года.</w:t>
      </w:r>
    </w:p>
    <w:p w:rsidR="004F0F0B" w:rsidRDefault="000535AB">
      <w:pPr>
        <w:shd w:val="clear" w:color="FFFFFF" w:themeColor="background1" w:fill="FFFFFF" w:themeFill="background1"/>
        <w:ind w:firstLine="720"/>
        <w:jc w:val="both"/>
        <w:rPr>
          <w:sz w:val="28"/>
          <w:szCs w:val="28"/>
          <w:highlight w:val="white"/>
        </w:rPr>
      </w:pPr>
      <w:r w:rsidRPr="000535AB">
        <w:rPr>
          <w:b/>
          <w:sz w:val="28"/>
          <w:szCs w:val="28"/>
          <w:highlight w:val="white"/>
        </w:rPr>
        <w:t>Объем телекоммуникационных услуг,</w:t>
      </w:r>
      <w:r>
        <w:rPr>
          <w:sz w:val="28"/>
          <w:szCs w:val="28"/>
          <w:highlight w:val="white"/>
        </w:rPr>
        <w:t xml:space="preserve"> оказанных организациями Ленинградской области (без субъектов малого предпринимательства), в январе-мае 2026 года составил 1,0 млрд рублей и в действующих ценах увеличился по сравнению с январем-маем 2025 года на</w:t>
      </w:r>
      <w:r>
        <w:rPr>
          <w:b/>
          <w:bCs/>
          <w:sz w:val="28"/>
          <w:szCs w:val="28"/>
          <w:highlight w:val="white"/>
        </w:rPr>
        <w:t xml:space="preserve"> 7,2%</w:t>
      </w:r>
      <w:r>
        <w:rPr>
          <w:sz w:val="28"/>
          <w:szCs w:val="28"/>
          <w:highlight w:val="white"/>
          <w:shd w:val="clear" w:color="EAF1DD" w:themeColor="accent3" w:themeTint="33" w:fill="EAF1DD" w:themeFill="accent3" w:themeFillTint="33"/>
        </w:rPr>
        <w:t>.</w:t>
      </w:r>
    </w:p>
    <w:p w:rsidR="004F0F0B" w:rsidRDefault="000535AB">
      <w:pPr>
        <w:shd w:val="clear" w:color="FFFFFF" w:themeColor="background1" w:fill="FFFFFF" w:themeFill="background1"/>
        <w:ind w:right="-5" w:firstLine="720"/>
        <w:jc w:val="both"/>
        <w:rPr>
          <w:sz w:val="28"/>
          <w:szCs w:val="28"/>
        </w:rPr>
      </w:pPr>
      <w:r w:rsidRPr="000535AB">
        <w:rPr>
          <w:b/>
          <w:bCs/>
          <w:iCs/>
          <w:sz w:val="28"/>
          <w:szCs w:val="28"/>
        </w:rPr>
        <w:t>Количество субъектов малого и среднего предпринимательства</w:t>
      </w:r>
      <w:r>
        <w:rPr>
          <w:sz w:val="28"/>
          <w:szCs w:val="28"/>
        </w:rPr>
        <w:t xml:space="preserve"> (далее – субъекты МСП) в Ленинградской области по состоянию на 10 июля 2026 года</w:t>
      </w:r>
      <w:r>
        <w:rPr>
          <w:sz w:val="28"/>
          <w:szCs w:val="28"/>
        </w:rPr>
        <w:br/>
        <w:t xml:space="preserve">в соответствии с единым реестром субъектов МСП составляет 88 890 </w:t>
      </w:r>
      <w:r>
        <w:rPr>
          <w:color w:val="212121"/>
          <w:sz w:val="28"/>
          <w:highlight w:val="white"/>
        </w:rPr>
        <w:t xml:space="preserve">субъектов </w:t>
      </w:r>
      <w:r>
        <w:rPr>
          <w:sz w:val="28"/>
          <w:szCs w:val="28"/>
        </w:rPr>
        <w:t xml:space="preserve">или </w:t>
      </w:r>
      <w:r>
        <w:rPr>
          <w:b/>
          <w:bCs/>
          <w:sz w:val="28"/>
          <w:szCs w:val="28"/>
        </w:rPr>
        <w:t xml:space="preserve">99,1% </w:t>
      </w:r>
      <w:r>
        <w:rPr>
          <w:sz w:val="28"/>
          <w:szCs w:val="28"/>
        </w:rPr>
        <w:t>к началу 2026 года.</w:t>
      </w:r>
    </w:p>
    <w:p w:rsidR="004F0F0B" w:rsidRDefault="000535AB">
      <w:pPr>
        <w:pBdr>
          <w:top w:val="none" w:sz="4" w:space="0" w:color="000000"/>
          <w:left w:val="none" w:sz="4" w:space="0" w:color="000000"/>
          <w:bottom w:val="none" w:sz="4" w:space="0" w:color="000000"/>
          <w:right w:val="none" w:sz="4" w:space="0" w:color="000000"/>
        </w:pBdr>
        <w:shd w:val="clear" w:color="FFFFFF" w:themeColor="background1" w:fill="FFFFFF" w:themeFill="background1"/>
        <w:ind w:right="-5" w:firstLine="720"/>
        <w:jc w:val="both"/>
        <w:rPr>
          <w:sz w:val="28"/>
          <w:szCs w:val="28"/>
        </w:rPr>
      </w:pPr>
      <w:r>
        <w:rPr>
          <w:color w:val="212121"/>
          <w:sz w:val="28"/>
        </w:rPr>
        <w:lastRenderedPageBreak/>
        <w:t>Ос</w:t>
      </w:r>
      <w:r>
        <w:rPr>
          <w:sz w:val="28"/>
          <w:szCs w:val="28"/>
        </w:rPr>
        <w:t>новной организационно-правовой формой малого бизнеса является индивидуальное предпринимательство (68 232 человека или 76,9% от общего числа субъектов МСП).</w:t>
      </w:r>
    </w:p>
    <w:p w:rsidR="004F0F0B" w:rsidRDefault="000535AB">
      <w:pPr>
        <w:pBdr>
          <w:top w:val="none" w:sz="4" w:space="0" w:color="000000"/>
          <w:left w:val="none" w:sz="4" w:space="0" w:color="000000"/>
          <w:bottom w:val="none" w:sz="4" w:space="0" w:color="000000"/>
          <w:right w:val="none" w:sz="4" w:space="0" w:color="000000"/>
        </w:pBdr>
        <w:shd w:val="clear" w:color="FFFFFF" w:themeColor="background1" w:fill="FFFFFF" w:themeFill="background1"/>
        <w:ind w:right="-5" w:firstLine="720"/>
        <w:jc w:val="both"/>
        <w:rPr>
          <w:sz w:val="28"/>
          <w:szCs w:val="28"/>
        </w:rPr>
      </w:pPr>
      <w:r>
        <w:rPr>
          <w:sz w:val="28"/>
          <w:szCs w:val="28"/>
        </w:rPr>
        <w:t>По состоянию на 10.07.2026 количество вновь зарегистрированных субъектов МСП в Ленинградской области составило 10 765 единиц, из которых 9 850 – индивидуальные предприниматели.</w:t>
      </w:r>
    </w:p>
    <w:p w:rsidR="004F0F0B" w:rsidRDefault="000535AB">
      <w:pPr>
        <w:pBdr>
          <w:top w:val="none" w:sz="4" w:space="0" w:color="000000"/>
          <w:left w:val="none" w:sz="4" w:space="0" w:color="000000"/>
          <w:bottom w:val="none" w:sz="4" w:space="0" w:color="000000"/>
          <w:right w:val="none" w:sz="4" w:space="0" w:color="000000"/>
        </w:pBdr>
        <w:shd w:val="clear" w:color="FFFFFF" w:themeColor="background1" w:fill="FFFFFF" w:themeFill="background1"/>
        <w:ind w:right="-5" w:firstLine="720"/>
        <w:jc w:val="both"/>
        <w:rPr>
          <w:sz w:val="28"/>
          <w:szCs w:val="28"/>
        </w:rPr>
      </w:pPr>
      <w:r>
        <w:rPr>
          <w:sz w:val="28"/>
          <w:szCs w:val="28"/>
        </w:rPr>
        <w:t>Наибольшее количество субъектов МСП занято в следующих видах экономической деятельности:</w:t>
      </w:r>
    </w:p>
    <w:p w:rsidR="004F0F0B" w:rsidRDefault="000535AB">
      <w:pPr>
        <w:pBdr>
          <w:top w:val="none" w:sz="4" w:space="0" w:color="000000"/>
          <w:left w:val="none" w:sz="4" w:space="0" w:color="000000"/>
          <w:bottom w:val="none" w:sz="4" w:space="0" w:color="000000"/>
          <w:right w:val="none" w:sz="4" w:space="0" w:color="000000"/>
        </w:pBdr>
        <w:shd w:val="clear" w:color="FFFFFF" w:themeColor="background1" w:fill="FFFFFF" w:themeFill="background1"/>
        <w:ind w:right="-5" w:firstLine="720"/>
        <w:jc w:val="both"/>
        <w:rPr>
          <w:sz w:val="28"/>
          <w:szCs w:val="28"/>
        </w:rPr>
      </w:pPr>
      <w:r>
        <w:rPr>
          <w:sz w:val="28"/>
          <w:szCs w:val="28"/>
        </w:rPr>
        <w:t>-    торговля оптовая и розничная; ремонт автотранспортных средств и мотоциклов (26,15%);</w:t>
      </w:r>
    </w:p>
    <w:p w:rsidR="004F0F0B" w:rsidRDefault="000535AB">
      <w:pPr>
        <w:pBdr>
          <w:top w:val="none" w:sz="4" w:space="0" w:color="000000"/>
          <w:left w:val="none" w:sz="4" w:space="0" w:color="000000"/>
          <w:bottom w:val="none" w:sz="4" w:space="0" w:color="000000"/>
          <w:right w:val="none" w:sz="4" w:space="0" w:color="000000"/>
        </w:pBdr>
        <w:shd w:val="clear" w:color="FFFFFF" w:themeColor="background1" w:fill="FFFFFF" w:themeFill="background1"/>
        <w:ind w:right="-5" w:firstLine="720"/>
        <w:jc w:val="both"/>
        <w:rPr>
          <w:sz w:val="28"/>
          <w:szCs w:val="28"/>
        </w:rPr>
      </w:pPr>
      <w:r>
        <w:rPr>
          <w:sz w:val="28"/>
          <w:szCs w:val="28"/>
        </w:rPr>
        <w:t>-    транспортировка и хранение (12,34%);</w:t>
      </w:r>
    </w:p>
    <w:p w:rsidR="004F0F0B" w:rsidRDefault="000535AB">
      <w:pPr>
        <w:pBdr>
          <w:top w:val="none" w:sz="4" w:space="0" w:color="000000"/>
          <w:left w:val="none" w:sz="4" w:space="0" w:color="000000"/>
          <w:bottom w:val="none" w:sz="4" w:space="0" w:color="000000"/>
          <w:right w:val="none" w:sz="4" w:space="0" w:color="000000"/>
        </w:pBdr>
        <w:shd w:val="clear" w:color="FFFFFF" w:themeColor="background1" w:fill="FFFFFF" w:themeFill="background1"/>
        <w:ind w:right="-5" w:firstLine="720"/>
        <w:jc w:val="both"/>
        <w:rPr>
          <w:sz w:val="28"/>
          <w:szCs w:val="28"/>
        </w:rPr>
      </w:pPr>
      <w:r>
        <w:rPr>
          <w:sz w:val="28"/>
          <w:szCs w:val="28"/>
        </w:rPr>
        <w:t>-    строительство (10,36%);</w:t>
      </w:r>
    </w:p>
    <w:p w:rsidR="004F0F0B" w:rsidRDefault="000535AB">
      <w:pPr>
        <w:pBdr>
          <w:top w:val="none" w:sz="4" w:space="0" w:color="000000"/>
          <w:left w:val="none" w:sz="4" w:space="0" w:color="000000"/>
          <w:bottom w:val="none" w:sz="4" w:space="0" w:color="000000"/>
          <w:right w:val="none" w:sz="4" w:space="0" w:color="000000"/>
        </w:pBdr>
        <w:shd w:val="clear" w:color="FFFFFF" w:themeColor="background1" w:fill="FFFFFF" w:themeFill="background1"/>
        <w:ind w:right="-5" w:firstLine="720"/>
        <w:jc w:val="both"/>
        <w:rPr>
          <w:sz w:val="28"/>
          <w:szCs w:val="28"/>
        </w:rPr>
      </w:pPr>
      <w:r>
        <w:rPr>
          <w:sz w:val="28"/>
          <w:szCs w:val="28"/>
        </w:rPr>
        <w:t>-    деятельность профессиональная, научная и техническая (7,76%);</w:t>
      </w:r>
    </w:p>
    <w:p w:rsidR="004F0F0B" w:rsidRDefault="000535AB">
      <w:pPr>
        <w:pBdr>
          <w:top w:val="none" w:sz="4" w:space="0" w:color="000000"/>
          <w:left w:val="none" w:sz="4" w:space="0" w:color="000000"/>
          <w:bottom w:val="none" w:sz="4" w:space="0" w:color="000000"/>
          <w:right w:val="none" w:sz="4" w:space="0" w:color="000000"/>
        </w:pBdr>
        <w:shd w:val="clear" w:color="FFFFFF" w:themeColor="background1" w:fill="FFFFFF" w:themeFill="background1"/>
        <w:ind w:right="-5" w:firstLine="720"/>
        <w:jc w:val="both"/>
        <w:rPr>
          <w:sz w:val="28"/>
          <w:szCs w:val="28"/>
        </w:rPr>
      </w:pPr>
      <w:r>
        <w:rPr>
          <w:sz w:val="28"/>
          <w:szCs w:val="28"/>
        </w:rPr>
        <w:t>-    обрабатывающие производства (7,48%);</w:t>
      </w:r>
    </w:p>
    <w:p w:rsidR="004F0F0B" w:rsidRDefault="000535AB">
      <w:pPr>
        <w:pBdr>
          <w:top w:val="none" w:sz="4" w:space="0" w:color="000000"/>
          <w:left w:val="none" w:sz="4" w:space="0" w:color="000000"/>
          <w:bottom w:val="none" w:sz="4" w:space="0" w:color="000000"/>
          <w:right w:val="none" w:sz="4" w:space="0" w:color="000000"/>
        </w:pBdr>
        <w:shd w:val="clear" w:color="FFFFFF" w:themeColor="background1" w:fill="FFFFFF" w:themeFill="background1"/>
        <w:ind w:right="-5" w:firstLine="720"/>
        <w:jc w:val="both"/>
        <w:rPr>
          <w:sz w:val="28"/>
          <w:szCs w:val="28"/>
        </w:rPr>
      </w:pPr>
      <w:r>
        <w:rPr>
          <w:sz w:val="28"/>
          <w:szCs w:val="28"/>
        </w:rPr>
        <w:t>-    деятельность по операциям с недвижимым имуществом (7,15%).</w:t>
      </w:r>
    </w:p>
    <w:p w:rsidR="004F0F0B" w:rsidRDefault="000535AB">
      <w:pPr>
        <w:shd w:val="clear" w:color="FFFFFF" w:themeColor="background1" w:fill="FFFFFF" w:themeFill="background1"/>
        <w:tabs>
          <w:tab w:val="left" w:pos="0"/>
        </w:tabs>
        <w:ind w:firstLine="709"/>
        <w:jc w:val="both"/>
        <w:rPr>
          <w:sz w:val="28"/>
          <w:szCs w:val="28"/>
        </w:rPr>
      </w:pPr>
      <w:r>
        <w:rPr>
          <w:sz w:val="28"/>
          <w:szCs w:val="28"/>
        </w:rPr>
        <w:t xml:space="preserve">По виду деятельности </w:t>
      </w:r>
      <w:r w:rsidRPr="000535AB">
        <w:rPr>
          <w:b/>
          <w:bCs/>
          <w:iCs/>
          <w:sz w:val="28"/>
          <w:szCs w:val="28"/>
        </w:rPr>
        <w:t>«строительство»</w:t>
      </w:r>
      <w:r>
        <w:rPr>
          <w:sz w:val="28"/>
          <w:szCs w:val="28"/>
        </w:rPr>
        <w:t xml:space="preserve"> в январе-мае 2026 года объем работ составил </w:t>
      </w:r>
      <w:r>
        <w:rPr>
          <w:sz w:val="28"/>
          <w:szCs w:val="28"/>
          <w:highlight w:val="white"/>
        </w:rPr>
        <w:t xml:space="preserve">200,3 млрд рублей, индекс физического объема к январю-маю 2025 года – </w:t>
      </w:r>
      <w:r>
        <w:rPr>
          <w:b/>
          <w:bCs/>
          <w:sz w:val="28"/>
          <w:szCs w:val="28"/>
          <w:highlight w:val="white"/>
        </w:rPr>
        <w:t>94,7%</w:t>
      </w:r>
      <w:r>
        <w:rPr>
          <w:sz w:val="28"/>
          <w:szCs w:val="28"/>
          <w:highlight w:val="white"/>
        </w:rPr>
        <w:t>.</w:t>
      </w:r>
    </w:p>
    <w:p w:rsidR="004F0F0B" w:rsidRDefault="000535AB">
      <w:pPr>
        <w:shd w:val="clear" w:color="FFFFFF" w:themeColor="background1" w:fill="FFFFFF" w:themeFill="background1"/>
        <w:tabs>
          <w:tab w:val="left" w:pos="0"/>
        </w:tabs>
        <w:ind w:firstLine="709"/>
        <w:jc w:val="both"/>
        <w:rPr>
          <w:sz w:val="28"/>
          <w:szCs w:val="28"/>
          <w:highlight w:val="white"/>
        </w:rPr>
      </w:pPr>
      <w:r>
        <w:rPr>
          <w:sz w:val="28"/>
          <w:szCs w:val="28"/>
          <w:highlight w:val="white"/>
        </w:rPr>
        <w:t>Организациями различных видов деятельности (без субъектов малого предпринимательства) в январе-мае 2026 года выполнено хозяйственным способом строительно-монтажных работ на 281,6 млн рублей, индекс физического объема к январю-маю 2025 года составил 104,2%.</w:t>
      </w:r>
    </w:p>
    <w:p w:rsidR="004F0F0B" w:rsidRDefault="000535AB">
      <w:pPr>
        <w:shd w:val="clear" w:color="FFFFFF" w:themeColor="background1" w:fill="FFFFFF" w:themeFill="background1"/>
        <w:tabs>
          <w:tab w:val="left" w:pos="0"/>
        </w:tabs>
        <w:ind w:firstLine="709"/>
        <w:jc w:val="both"/>
        <w:rPr>
          <w:sz w:val="28"/>
          <w:szCs w:val="28"/>
        </w:rPr>
      </w:pPr>
      <w:r>
        <w:rPr>
          <w:sz w:val="28"/>
          <w:szCs w:val="28"/>
          <w:highlight w:val="white"/>
        </w:rPr>
        <w:t>В январе-мае 2026 года</w:t>
      </w:r>
      <w:r>
        <w:rPr>
          <w:i/>
          <w:sz w:val="28"/>
          <w:szCs w:val="28"/>
          <w:highlight w:val="white"/>
        </w:rPr>
        <w:t xml:space="preserve"> </w:t>
      </w:r>
      <w:r>
        <w:rPr>
          <w:sz w:val="28"/>
          <w:szCs w:val="28"/>
          <w:highlight w:val="white"/>
        </w:rPr>
        <w:t xml:space="preserve">организациями всех форм собственности и населением </w:t>
      </w:r>
      <w:r>
        <w:rPr>
          <w:b/>
          <w:i/>
          <w:sz w:val="28"/>
          <w:szCs w:val="28"/>
          <w:highlight w:val="white"/>
        </w:rPr>
        <w:t xml:space="preserve"> введено в действие</w:t>
      </w:r>
      <w:r>
        <w:rPr>
          <w:sz w:val="28"/>
          <w:szCs w:val="28"/>
          <w:highlight w:val="white"/>
        </w:rPr>
        <w:t xml:space="preserve"> 16 792 </w:t>
      </w:r>
      <w:r>
        <w:rPr>
          <w:b/>
          <w:i/>
          <w:sz w:val="28"/>
          <w:szCs w:val="28"/>
          <w:highlight w:val="white"/>
        </w:rPr>
        <w:t xml:space="preserve">квартиры </w:t>
      </w:r>
      <w:r>
        <w:rPr>
          <w:sz w:val="28"/>
          <w:szCs w:val="28"/>
          <w:highlight w:val="white"/>
        </w:rPr>
        <w:t xml:space="preserve">(94,8% к январю-маю 2025) общей площадью 1 726,9 тыс. кв. м., (89,0% к январю-маю 2025 года). </w:t>
      </w:r>
    </w:p>
    <w:p w:rsidR="004F0F0B" w:rsidRDefault="000535AB">
      <w:pPr>
        <w:shd w:val="clear" w:color="FFFFFF" w:themeColor="background1" w:fill="FFFFFF" w:themeFill="background1"/>
        <w:spacing w:line="240" w:lineRule="atLeast"/>
        <w:ind w:firstLine="567"/>
        <w:jc w:val="both"/>
        <w:rPr>
          <w:sz w:val="28"/>
          <w:szCs w:val="28"/>
        </w:rPr>
      </w:pPr>
      <w:r>
        <w:rPr>
          <w:b/>
          <w:sz w:val="28"/>
          <w:szCs w:val="28"/>
        </w:rPr>
        <w:t>Индексы цен</w:t>
      </w:r>
      <w:r>
        <w:rPr>
          <w:sz w:val="28"/>
          <w:szCs w:val="28"/>
        </w:rPr>
        <w:t xml:space="preserve"> на товары и услуги в 2026 году помесячно и нарастающим итогом с начала года характеризуются следующими данными:</w:t>
      </w:r>
    </w:p>
    <w:p w:rsidR="004F0F0B" w:rsidRDefault="000535AB">
      <w:pPr>
        <w:widowControl w:val="0"/>
        <w:shd w:val="clear" w:color="FFFFFF" w:themeColor="background1" w:fill="FFFFFF" w:themeFill="background1"/>
        <w:spacing w:before="120"/>
        <w:ind w:right="-142"/>
        <w:jc w:val="right"/>
        <w:rPr>
          <w:sz w:val="28"/>
          <w:szCs w:val="28"/>
        </w:rPr>
      </w:pPr>
      <w:r>
        <w:rPr>
          <w:sz w:val="28"/>
          <w:szCs w:val="28"/>
        </w:rPr>
        <w:t xml:space="preserve">  </w:t>
      </w:r>
      <w:r>
        <w:rPr>
          <w:sz w:val="26"/>
          <w:highlight w:val="white"/>
        </w:rPr>
        <w:t>в процентах</w:t>
      </w:r>
    </w:p>
    <w:tbl>
      <w:tblPr>
        <w:tblW w:w="10544" w:type="dxa"/>
        <w:tblInd w:w="-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69"/>
        <w:gridCol w:w="1017"/>
        <w:gridCol w:w="1171"/>
        <w:gridCol w:w="1017"/>
        <w:gridCol w:w="1017"/>
        <w:gridCol w:w="882"/>
        <w:gridCol w:w="1271"/>
      </w:tblGrid>
      <w:tr w:rsidR="004F0F0B">
        <w:tc>
          <w:tcPr>
            <w:tcW w:w="4186" w:type="dxa"/>
            <w:vMerge w:val="restart"/>
            <w:tcBorders>
              <w:top w:val="single" w:sz="4" w:space="0" w:color="000000"/>
              <w:left w:val="none" w:sz="4" w:space="0" w:color="000000"/>
              <w:right w:val="none" w:sz="4" w:space="0" w:color="000000"/>
            </w:tcBorders>
            <w:vAlign w:val="bottom"/>
          </w:tcPr>
          <w:p w:rsidR="004F0F0B" w:rsidRDefault="004F0F0B">
            <w:pPr>
              <w:shd w:val="clear" w:color="FFFFFF" w:themeColor="background1" w:fill="FFFFFF" w:themeFill="background1"/>
              <w:spacing w:line="240" w:lineRule="atLeast"/>
              <w:rPr>
                <w:sz w:val="26"/>
              </w:rPr>
            </w:pPr>
          </w:p>
        </w:tc>
        <w:tc>
          <w:tcPr>
            <w:tcW w:w="5082" w:type="dxa"/>
            <w:gridSpan w:val="5"/>
            <w:tcBorders>
              <w:top w:val="single" w:sz="4" w:space="0" w:color="000000"/>
              <w:left w:val="none" w:sz="4" w:space="0" w:color="000000"/>
              <w:right w:val="none" w:sz="4" w:space="0" w:color="000000"/>
            </w:tcBorders>
          </w:tcPr>
          <w:p w:rsidR="004F0F0B" w:rsidRDefault="000535AB">
            <w:pPr>
              <w:shd w:val="clear" w:color="FFFFFF" w:themeColor="background1" w:fill="FFFFFF" w:themeFill="background1"/>
              <w:tabs>
                <w:tab w:val="decimal" w:pos="190"/>
              </w:tabs>
              <w:jc w:val="center"/>
              <w:rPr>
                <w:sz w:val="26"/>
              </w:rPr>
            </w:pPr>
            <w:r>
              <w:rPr>
                <w:sz w:val="26"/>
                <w:szCs w:val="26"/>
              </w:rPr>
              <w:t>К предыдущему месяцу</w:t>
            </w:r>
          </w:p>
        </w:tc>
        <w:tc>
          <w:tcPr>
            <w:tcW w:w="1276" w:type="dxa"/>
            <w:vMerge w:val="restart"/>
            <w:tcBorders>
              <w:top w:val="single" w:sz="4" w:space="0" w:color="000000"/>
              <w:left w:val="none" w:sz="4" w:space="0" w:color="000000"/>
              <w:right w:val="none" w:sz="4" w:space="0" w:color="000000"/>
            </w:tcBorders>
            <w:vAlign w:val="center"/>
          </w:tcPr>
          <w:p w:rsidR="004F0F0B" w:rsidRDefault="000535AB">
            <w:pPr>
              <w:shd w:val="clear" w:color="FFFFFF" w:themeColor="background1" w:fill="FFFFFF" w:themeFill="background1"/>
              <w:tabs>
                <w:tab w:val="decimal" w:pos="190"/>
              </w:tabs>
              <w:jc w:val="center"/>
            </w:pPr>
            <w:r>
              <w:rPr>
                <w:sz w:val="26"/>
              </w:rPr>
              <w:t>С начала года</w:t>
            </w:r>
          </w:p>
        </w:tc>
      </w:tr>
      <w:tr w:rsidR="004F0F0B">
        <w:trPr>
          <w:trHeight w:val="317"/>
        </w:trPr>
        <w:tc>
          <w:tcPr>
            <w:tcW w:w="4186" w:type="dxa"/>
            <w:vMerge/>
            <w:tcBorders>
              <w:left w:val="none" w:sz="4" w:space="0" w:color="000000"/>
              <w:bottom w:val="single" w:sz="4" w:space="0" w:color="000000"/>
              <w:right w:val="none" w:sz="4" w:space="0" w:color="000000"/>
            </w:tcBorders>
            <w:vAlign w:val="bottom"/>
          </w:tcPr>
          <w:p w:rsidR="004F0F0B" w:rsidRDefault="004F0F0B">
            <w:pPr>
              <w:spacing w:line="240" w:lineRule="atLeast"/>
              <w:rPr>
                <w:sz w:val="26"/>
              </w:rPr>
            </w:pPr>
          </w:p>
        </w:tc>
        <w:tc>
          <w:tcPr>
            <w:tcW w:w="1021" w:type="dxa"/>
            <w:tcBorders>
              <w:top w:val="single" w:sz="4" w:space="0" w:color="000000"/>
              <w:left w:val="none" w:sz="4" w:space="0" w:color="000000"/>
              <w:bottom w:val="single" w:sz="4" w:space="0" w:color="000000"/>
              <w:right w:val="none" w:sz="4" w:space="0" w:color="000000"/>
            </w:tcBorders>
            <w:vAlign w:val="bottom"/>
          </w:tcPr>
          <w:p w:rsidR="004F0F0B" w:rsidRDefault="000535AB">
            <w:pPr>
              <w:shd w:val="clear" w:color="FFFFFF" w:themeColor="background1" w:fill="FFFFFF" w:themeFill="background1"/>
              <w:tabs>
                <w:tab w:val="decimal" w:pos="190"/>
              </w:tabs>
              <w:spacing w:line="240" w:lineRule="atLeast"/>
              <w:jc w:val="center"/>
              <w:rPr>
                <w:sz w:val="26"/>
                <w:szCs w:val="26"/>
              </w:rPr>
            </w:pPr>
            <w:r>
              <w:rPr>
                <w:sz w:val="26"/>
                <w:szCs w:val="26"/>
              </w:rPr>
              <w:t>январь</w:t>
            </w:r>
          </w:p>
        </w:tc>
        <w:tc>
          <w:tcPr>
            <w:tcW w:w="1175" w:type="dxa"/>
            <w:tcBorders>
              <w:top w:val="single" w:sz="4" w:space="0" w:color="000000"/>
              <w:left w:val="none" w:sz="4" w:space="0" w:color="000000"/>
              <w:bottom w:val="single" w:sz="4" w:space="0" w:color="000000"/>
              <w:right w:val="none" w:sz="4" w:space="0" w:color="000000"/>
            </w:tcBorders>
            <w:vAlign w:val="bottom"/>
          </w:tcPr>
          <w:p w:rsidR="004F0F0B" w:rsidRDefault="000535AB">
            <w:pPr>
              <w:shd w:val="clear" w:color="FFFFFF" w:themeColor="background1" w:fill="FFFFFF" w:themeFill="background1"/>
              <w:tabs>
                <w:tab w:val="decimal" w:pos="190"/>
              </w:tabs>
              <w:spacing w:line="240" w:lineRule="atLeast"/>
              <w:jc w:val="center"/>
              <w:rPr>
                <w:sz w:val="26"/>
                <w:szCs w:val="26"/>
              </w:rPr>
            </w:pPr>
            <w:r>
              <w:rPr>
                <w:sz w:val="26"/>
                <w:szCs w:val="26"/>
              </w:rPr>
              <w:t>февраль</w:t>
            </w:r>
          </w:p>
        </w:tc>
        <w:tc>
          <w:tcPr>
            <w:tcW w:w="1021" w:type="dxa"/>
            <w:tcBorders>
              <w:left w:val="none" w:sz="4" w:space="0" w:color="000000"/>
              <w:bottom w:val="single" w:sz="4" w:space="0" w:color="000000"/>
              <w:right w:val="none" w:sz="4" w:space="0" w:color="000000"/>
            </w:tcBorders>
            <w:vAlign w:val="bottom"/>
          </w:tcPr>
          <w:p w:rsidR="004F0F0B" w:rsidRDefault="000535AB">
            <w:pPr>
              <w:shd w:val="clear" w:color="FFFFFF" w:themeColor="background1" w:fill="FFFFFF" w:themeFill="background1"/>
              <w:tabs>
                <w:tab w:val="decimal" w:pos="190"/>
              </w:tabs>
              <w:spacing w:line="240" w:lineRule="atLeast"/>
              <w:jc w:val="center"/>
              <w:rPr>
                <w:sz w:val="26"/>
                <w:szCs w:val="26"/>
              </w:rPr>
            </w:pPr>
            <w:r>
              <w:rPr>
                <w:sz w:val="26"/>
                <w:szCs w:val="26"/>
              </w:rPr>
              <w:t>март</w:t>
            </w:r>
          </w:p>
        </w:tc>
        <w:tc>
          <w:tcPr>
            <w:tcW w:w="1021" w:type="dxa"/>
            <w:tcBorders>
              <w:left w:val="none" w:sz="4" w:space="0" w:color="000000"/>
              <w:bottom w:val="single" w:sz="4" w:space="0" w:color="000000"/>
              <w:right w:val="none" w:sz="4" w:space="0" w:color="000000"/>
            </w:tcBorders>
            <w:vAlign w:val="bottom"/>
          </w:tcPr>
          <w:p w:rsidR="004F0F0B" w:rsidRDefault="000535AB">
            <w:pPr>
              <w:shd w:val="clear" w:color="FFFFFF" w:themeColor="background1" w:fill="FFFFFF" w:themeFill="background1"/>
              <w:tabs>
                <w:tab w:val="decimal" w:pos="190"/>
              </w:tabs>
              <w:spacing w:line="240" w:lineRule="atLeast"/>
              <w:jc w:val="center"/>
              <w:rPr>
                <w:sz w:val="26"/>
                <w:szCs w:val="26"/>
              </w:rPr>
            </w:pPr>
            <w:r>
              <w:rPr>
                <w:sz w:val="26"/>
                <w:szCs w:val="26"/>
              </w:rPr>
              <w:t>апрель</w:t>
            </w:r>
          </w:p>
        </w:tc>
        <w:tc>
          <w:tcPr>
            <w:tcW w:w="885" w:type="dxa"/>
            <w:tcBorders>
              <w:left w:val="none" w:sz="4" w:space="0" w:color="000000"/>
              <w:bottom w:val="single" w:sz="4" w:space="0" w:color="000000"/>
              <w:right w:val="none" w:sz="4" w:space="0" w:color="000000"/>
            </w:tcBorders>
            <w:vAlign w:val="bottom"/>
          </w:tcPr>
          <w:p w:rsidR="004F0F0B" w:rsidRDefault="000535AB">
            <w:pPr>
              <w:shd w:val="clear" w:color="FFFFFF" w:themeColor="background1" w:fill="FFFFFF" w:themeFill="background1"/>
              <w:tabs>
                <w:tab w:val="decimal" w:pos="190"/>
              </w:tabs>
              <w:ind w:left="-212" w:right="-132"/>
              <w:jc w:val="center"/>
            </w:pPr>
            <w:r>
              <w:rPr>
                <w:sz w:val="26"/>
                <w:szCs w:val="26"/>
              </w:rPr>
              <w:t>май</w:t>
            </w:r>
          </w:p>
        </w:tc>
        <w:tc>
          <w:tcPr>
            <w:tcW w:w="1276" w:type="dxa"/>
            <w:vMerge/>
            <w:tcBorders>
              <w:left w:val="none" w:sz="4" w:space="0" w:color="000000"/>
              <w:bottom w:val="single" w:sz="4" w:space="0" w:color="000000"/>
              <w:right w:val="none" w:sz="4" w:space="0" w:color="000000"/>
            </w:tcBorders>
            <w:vAlign w:val="bottom"/>
          </w:tcPr>
          <w:p w:rsidR="004F0F0B" w:rsidRDefault="004F0F0B">
            <w:pPr>
              <w:tabs>
                <w:tab w:val="decimal" w:pos="190"/>
              </w:tabs>
              <w:ind w:left="-212" w:right="-132"/>
            </w:pPr>
          </w:p>
        </w:tc>
      </w:tr>
      <w:tr w:rsidR="004F0F0B">
        <w:tc>
          <w:tcPr>
            <w:tcW w:w="4186" w:type="dxa"/>
            <w:tcBorders>
              <w:top w:val="single" w:sz="4" w:space="0" w:color="000000"/>
              <w:left w:val="none" w:sz="4" w:space="0" w:color="000000"/>
              <w:bottom w:val="none" w:sz="4" w:space="0" w:color="000000"/>
              <w:right w:val="none" w:sz="4" w:space="0" w:color="000000"/>
            </w:tcBorders>
            <w:vAlign w:val="bottom"/>
          </w:tcPr>
          <w:p w:rsidR="004F0F0B" w:rsidRDefault="000535AB">
            <w:pPr>
              <w:shd w:val="clear" w:color="FFFFFF" w:themeColor="background1" w:fill="FFFFFF" w:themeFill="background1"/>
              <w:spacing w:line="260" w:lineRule="exact"/>
              <w:rPr>
                <w:sz w:val="26"/>
                <w:szCs w:val="26"/>
              </w:rPr>
            </w:pPr>
            <w:r>
              <w:rPr>
                <w:sz w:val="26"/>
                <w:szCs w:val="26"/>
              </w:rPr>
              <w:t>Все товары и услуги</w:t>
            </w:r>
          </w:p>
        </w:tc>
        <w:tc>
          <w:tcPr>
            <w:tcW w:w="1021" w:type="dxa"/>
            <w:tcBorders>
              <w:top w:val="single" w:sz="4" w:space="0" w:color="000000"/>
              <w:left w:val="none" w:sz="4" w:space="0" w:color="000000"/>
              <w:bottom w:val="none" w:sz="4" w:space="0" w:color="000000"/>
              <w:right w:val="none" w:sz="4" w:space="0" w:color="000000"/>
            </w:tcBorders>
            <w:vAlign w:val="bottom"/>
          </w:tcPr>
          <w:p w:rsidR="004F0F0B" w:rsidRDefault="000535AB">
            <w:pPr>
              <w:shd w:val="clear" w:color="FFFFFF" w:themeColor="background1" w:fill="FFFFFF" w:themeFill="background1"/>
              <w:tabs>
                <w:tab w:val="decimal" w:pos="438"/>
              </w:tabs>
              <w:spacing w:line="260" w:lineRule="exact"/>
              <w:ind w:left="-95" w:right="-96"/>
              <w:rPr>
                <w:sz w:val="26"/>
                <w:szCs w:val="26"/>
              </w:rPr>
            </w:pPr>
            <w:r>
              <w:rPr>
                <w:sz w:val="26"/>
                <w:szCs w:val="26"/>
              </w:rPr>
              <w:t>101,51</w:t>
            </w:r>
          </w:p>
        </w:tc>
        <w:tc>
          <w:tcPr>
            <w:tcW w:w="1175" w:type="dxa"/>
            <w:tcBorders>
              <w:top w:val="single" w:sz="4" w:space="0" w:color="000000"/>
              <w:left w:val="none" w:sz="4" w:space="0" w:color="000000"/>
              <w:bottom w:val="none" w:sz="4" w:space="0" w:color="000000"/>
              <w:right w:val="none" w:sz="4" w:space="0" w:color="000000"/>
            </w:tcBorders>
            <w:vAlign w:val="bottom"/>
          </w:tcPr>
          <w:p w:rsidR="004F0F0B" w:rsidRDefault="000535AB">
            <w:pPr>
              <w:shd w:val="clear" w:color="FFFFFF" w:themeColor="background1" w:fill="FFFFFF" w:themeFill="background1"/>
              <w:tabs>
                <w:tab w:val="decimal" w:pos="494"/>
              </w:tabs>
              <w:spacing w:line="260" w:lineRule="exact"/>
              <w:ind w:left="-95" w:right="-96"/>
              <w:rPr>
                <w:color w:val="000000"/>
                <w:sz w:val="26"/>
                <w:szCs w:val="26"/>
              </w:rPr>
            </w:pPr>
            <w:r>
              <w:rPr>
                <w:color w:val="000000"/>
                <w:sz w:val="26"/>
                <w:szCs w:val="26"/>
              </w:rPr>
              <w:t>100,86</w:t>
            </w:r>
          </w:p>
        </w:tc>
        <w:tc>
          <w:tcPr>
            <w:tcW w:w="1021" w:type="dxa"/>
            <w:tcBorders>
              <w:top w:val="single" w:sz="4" w:space="0" w:color="000000"/>
              <w:left w:val="none" w:sz="4" w:space="0" w:color="000000"/>
              <w:bottom w:val="none" w:sz="4" w:space="0" w:color="000000"/>
              <w:right w:val="none" w:sz="4" w:space="0" w:color="000000"/>
            </w:tcBorders>
            <w:vAlign w:val="bottom"/>
          </w:tcPr>
          <w:p w:rsidR="004F0F0B" w:rsidRDefault="000535AB">
            <w:pPr>
              <w:shd w:val="clear" w:color="FFFFFF" w:themeColor="background1" w:fill="FFFFFF" w:themeFill="background1"/>
              <w:tabs>
                <w:tab w:val="decimal" w:pos="438"/>
              </w:tabs>
              <w:spacing w:line="260" w:lineRule="exact"/>
              <w:ind w:left="-95" w:right="-96"/>
              <w:rPr>
                <w:color w:val="000000"/>
                <w:sz w:val="26"/>
                <w:szCs w:val="26"/>
              </w:rPr>
            </w:pPr>
            <w:r>
              <w:rPr>
                <w:color w:val="000000"/>
                <w:sz w:val="26"/>
                <w:szCs w:val="26"/>
              </w:rPr>
              <w:t>101,06</w:t>
            </w:r>
          </w:p>
        </w:tc>
        <w:tc>
          <w:tcPr>
            <w:tcW w:w="1021" w:type="dxa"/>
            <w:tcBorders>
              <w:top w:val="single" w:sz="4" w:space="0" w:color="000000"/>
              <w:left w:val="none" w:sz="4" w:space="0" w:color="000000"/>
              <w:bottom w:val="none" w:sz="4" w:space="0" w:color="000000"/>
              <w:right w:val="none" w:sz="4" w:space="0" w:color="000000"/>
            </w:tcBorders>
            <w:vAlign w:val="bottom"/>
          </w:tcPr>
          <w:p w:rsidR="004F0F0B" w:rsidRDefault="000535AB">
            <w:pPr>
              <w:shd w:val="clear" w:color="FFFFFF" w:themeColor="background1" w:fill="FFFFFF" w:themeFill="background1"/>
              <w:tabs>
                <w:tab w:val="decimal" w:pos="438"/>
              </w:tabs>
              <w:spacing w:line="260" w:lineRule="exact"/>
              <w:ind w:left="-95" w:right="-96"/>
              <w:rPr>
                <w:color w:val="000000"/>
                <w:sz w:val="26"/>
                <w:szCs w:val="26"/>
              </w:rPr>
            </w:pPr>
            <w:r>
              <w:rPr>
                <w:color w:val="000000"/>
                <w:sz w:val="26"/>
                <w:szCs w:val="26"/>
              </w:rPr>
              <w:t>100,30</w:t>
            </w:r>
          </w:p>
        </w:tc>
        <w:tc>
          <w:tcPr>
            <w:tcW w:w="885" w:type="dxa"/>
            <w:tcBorders>
              <w:top w:val="single" w:sz="4" w:space="0" w:color="000000"/>
              <w:left w:val="none" w:sz="4" w:space="0" w:color="000000"/>
              <w:bottom w:val="none" w:sz="4" w:space="0" w:color="000000"/>
              <w:right w:val="none" w:sz="4" w:space="0" w:color="000000"/>
            </w:tcBorders>
            <w:vAlign w:val="bottom"/>
          </w:tcPr>
          <w:p w:rsidR="004F0F0B" w:rsidRDefault="000535AB">
            <w:pPr>
              <w:shd w:val="clear" w:color="FFFFFF" w:themeColor="background1" w:fill="FFFFFF" w:themeFill="background1"/>
              <w:tabs>
                <w:tab w:val="decimal" w:pos="370"/>
              </w:tabs>
              <w:spacing w:line="260" w:lineRule="exact"/>
              <w:ind w:left="-95" w:right="-96"/>
              <w:rPr>
                <w:color w:val="000000"/>
                <w:sz w:val="26"/>
                <w:szCs w:val="26"/>
              </w:rPr>
            </w:pPr>
            <w:r>
              <w:rPr>
                <w:color w:val="000000"/>
                <w:sz w:val="26"/>
                <w:szCs w:val="26"/>
              </w:rPr>
              <w:t>100,17</w:t>
            </w:r>
          </w:p>
        </w:tc>
        <w:tc>
          <w:tcPr>
            <w:tcW w:w="1276" w:type="dxa"/>
            <w:tcBorders>
              <w:top w:val="single" w:sz="4" w:space="0" w:color="000000"/>
              <w:left w:val="none" w:sz="4" w:space="0" w:color="000000"/>
              <w:bottom w:val="none" w:sz="4" w:space="0" w:color="000000"/>
              <w:right w:val="none" w:sz="4" w:space="0" w:color="000000"/>
            </w:tcBorders>
            <w:vAlign w:val="bottom"/>
          </w:tcPr>
          <w:p w:rsidR="004F0F0B" w:rsidRDefault="000535AB">
            <w:pPr>
              <w:shd w:val="clear" w:color="FFFFFF" w:themeColor="background1" w:fill="FFFFFF" w:themeFill="background1"/>
              <w:tabs>
                <w:tab w:val="decimal" w:pos="563"/>
              </w:tabs>
              <w:spacing w:line="260" w:lineRule="exact"/>
              <w:ind w:right="-96"/>
              <w:rPr>
                <w:color w:val="000000"/>
                <w:sz w:val="26"/>
                <w:szCs w:val="26"/>
              </w:rPr>
            </w:pPr>
            <w:r>
              <w:rPr>
                <w:color w:val="000000"/>
                <w:sz w:val="26"/>
                <w:szCs w:val="26"/>
              </w:rPr>
              <w:t>103,96</w:t>
            </w:r>
          </w:p>
        </w:tc>
      </w:tr>
      <w:tr w:rsidR="004F0F0B">
        <w:tc>
          <w:tcPr>
            <w:tcW w:w="4186" w:type="dxa"/>
            <w:tcBorders>
              <w:top w:val="none" w:sz="4" w:space="0" w:color="000000"/>
              <w:left w:val="none" w:sz="4" w:space="0" w:color="000000"/>
              <w:bottom w:val="none" w:sz="4" w:space="0" w:color="000000"/>
              <w:right w:val="none" w:sz="4" w:space="0" w:color="000000"/>
            </w:tcBorders>
            <w:vAlign w:val="bottom"/>
          </w:tcPr>
          <w:p w:rsidR="004F0F0B" w:rsidRDefault="000535AB">
            <w:pPr>
              <w:shd w:val="clear" w:color="FFFFFF" w:themeColor="background1" w:fill="FFFFFF" w:themeFill="background1"/>
              <w:spacing w:line="260" w:lineRule="exact"/>
              <w:rPr>
                <w:sz w:val="26"/>
                <w:szCs w:val="26"/>
              </w:rPr>
            </w:pPr>
            <w:r>
              <w:rPr>
                <w:sz w:val="26"/>
                <w:szCs w:val="26"/>
              </w:rPr>
              <w:t xml:space="preserve"> продовольственные товары</w:t>
            </w:r>
          </w:p>
        </w:tc>
        <w:tc>
          <w:tcPr>
            <w:tcW w:w="1021" w:type="dxa"/>
            <w:tcBorders>
              <w:top w:val="none" w:sz="4" w:space="0" w:color="000000"/>
              <w:left w:val="none" w:sz="4" w:space="0" w:color="000000"/>
              <w:bottom w:val="none" w:sz="4" w:space="0" w:color="000000"/>
              <w:right w:val="none" w:sz="4" w:space="0" w:color="000000"/>
            </w:tcBorders>
            <w:vAlign w:val="bottom"/>
          </w:tcPr>
          <w:p w:rsidR="004F0F0B" w:rsidRDefault="000535AB">
            <w:pPr>
              <w:shd w:val="clear" w:color="FFFFFF" w:themeColor="background1" w:fill="FFFFFF" w:themeFill="background1"/>
              <w:tabs>
                <w:tab w:val="decimal" w:pos="438"/>
              </w:tabs>
              <w:spacing w:line="260" w:lineRule="exact"/>
              <w:ind w:left="-95" w:right="-96"/>
              <w:rPr>
                <w:color w:val="000000"/>
                <w:sz w:val="26"/>
                <w:szCs w:val="26"/>
              </w:rPr>
            </w:pPr>
            <w:r>
              <w:rPr>
                <w:color w:val="000000"/>
                <w:sz w:val="26"/>
                <w:szCs w:val="26"/>
              </w:rPr>
              <w:t>102,22</w:t>
            </w:r>
          </w:p>
        </w:tc>
        <w:tc>
          <w:tcPr>
            <w:tcW w:w="1175" w:type="dxa"/>
            <w:tcBorders>
              <w:top w:val="none" w:sz="4" w:space="0" w:color="000000"/>
              <w:left w:val="none" w:sz="4" w:space="0" w:color="000000"/>
              <w:bottom w:val="none" w:sz="4" w:space="0" w:color="000000"/>
              <w:right w:val="none" w:sz="4" w:space="0" w:color="000000"/>
            </w:tcBorders>
            <w:vAlign w:val="bottom"/>
          </w:tcPr>
          <w:p w:rsidR="004F0F0B" w:rsidRDefault="000535AB">
            <w:pPr>
              <w:shd w:val="clear" w:color="FFFFFF" w:themeColor="background1" w:fill="FFFFFF" w:themeFill="background1"/>
              <w:tabs>
                <w:tab w:val="decimal" w:pos="494"/>
              </w:tabs>
              <w:spacing w:line="260" w:lineRule="exact"/>
              <w:ind w:left="-95" w:right="-96"/>
              <w:rPr>
                <w:color w:val="000000"/>
                <w:sz w:val="26"/>
                <w:szCs w:val="26"/>
              </w:rPr>
            </w:pPr>
            <w:r>
              <w:rPr>
                <w:color w:val="000000"/>
                <w:sz w:val="26"/>
                <w:szCs w:val="26"/>
              </w:rPr>
              <w:t>101,21</w:t>
            </w:r>
          </w:p>
        </w:tc>
        <w:tc>
          <w:tcPr>
            <w:tcW w:w="1021" w:type="dxa"/>
            <w:tcBorders>
              <w:top w:val="none" w:sz="4" w:space="0" w:color="000000"/>
              <w:left w:val="none" w:sz="4" w:space="0" w:color="000000"/>
              <w:bottom w:val="none" w:sz="4" w:space="0" w:color="000000"/>
              <w:right w:val="none" w:sz="4" w:space="0" w:color="000000"/>
            </w:tcBorders>
            <w:vAlign w:val="bottom"/>
          </w:tcPr>
          <w:p w:rsidR="004F0F0B" w:rsidRDefault="000535AB">
            <w:pPr>
              <w:shd w:val="clear" w:color="FFFFFF" w:themeColor="background1" w:fill="FFFFFF" w:themeFill="background1"/>
              <w:tabs>
                <w:tab w:val="decimal" w:pos="438"/>
              </w:tabs>
              <w:spacing w:line="260" w:lineRule="exact"/>
              <w:ind w:left="-95" w:right="-96"/>
              <w:rPr>
                <w:color w:val="000000"/>
                <w:sz w:val="26"/>
                <w:szCs w:val="26"/>
              </w:rPr>
            </w:pPr>
            <w:r>
              <w:rPr>
                <w:color w:val="000000"/>
                <w:sz w:val="26"/>
                <w:szCs w:val="26"/>
              </w:rPr>
              <w:t>101,27</w:t>
            </w:r>
          </w:p>
        </w:tc>
        <w:tc>
          <w:tcPr>
            <w:tcW w:w="1021" w:type="dxa"/>
            <w:tcBorders>
              <w:top w:val="none" w:sz="4" w:space="0" w:color="000000"/>
              <w:left w:val="none" w:sz="4" w:space="0" w:color="000000"/>
              <w:bottom w:val="none" w:sz="4" w:space="0" w:color="000000"/>
              <w:right w:val="none" w:sz="4" w:space="0" w:color="000000"/>
            </w:tcBorders>
            <w:vAlign w:val="bottom"/>
          </w:tcPr>
          <w:p w:rsidR="004F0F0B" w:rsidRDefault="000535AB">
            <w:pPr>
              <w:shd w:val="clear" w:color="FFFFFF" w:themeColor="background1" w:fill="FFFFFF" w:themeFill="background1"/>
              <w:tabs>
                <w:tab w:val="decimal" w:pos="438"/>
              </w:tabs>
              <w:spacing w:line="260" w:lineRule="exact"/>
              <w:ind w:left="-95" w:right="-96"/>
              <w:rPr>
                <w:color w:val="000000"/>
                <w:sz w:val="26"/>
                <w:szCs w:val="26"/>
              </w:rPr>
            </w:pPr>
            <w:r>
              <w:rPr>
                <w:color w:val="000000"/>
                <w:sz w:val="26"/>
                <w:szCs w:val="26"/>
              </w:rPr>
              <w:t>100,70</w:t>
            </w:r>
          </w:p>
        </w:tc>
        <w:tc>
          <w:tcPr>
            <w:tcW w:w="885" w:type="dxa"/>
            <w:tcBorders>
              <w:top w:val="none" w:sz="4" w:space="0" w:color="000000"/>
              <w:left w:val="none" w:sz="4" w:space="0" w:color="000000"/>
              <w:bottom w:val="none" w:sz="4" w:space="0" w:color="000000"/>
              <w:right w:val="none" w:sz="4" w:space="0" w:color="000000"/>
            </w:tcBorders>
            <w:vAlign w:val="bottom"/>
          </w:tcPr>
          <w:p w:rsidR="004F0F0B" w:rsidRDefault="000535AB">
            <w:pPr>
              <w:shd w:val="clear" w:color="FFFFFF" w:themeColor="background1" w:fill="FFFFFF" w:themeFill="background1"/>
              <w:tabs>
                <w:tab w:val="decimal" w:pos="370"/>
              </w:tabs>
              <w:spacing w:line="260" w:lineRule="exact"/>
              <w:ind w:left="-95" w:right="-96"/>
              <w:rPr>
                <w:color w:val="000000"/>
                <w:sz w:val="26"/>
                <w:szCs w:val="26"/>
              </w:rPr>
            </w:pPr>
            <w:r>
              <w:rPr>
                <w:color w:val="000000"/>
                <w:sz w:val="26"/>
                <w:szCs w:val="26"/>
              </w:rPr>
              <w:t>100,02</w:t>
            </w:r>
          </w:p>
        </w:tc>
        <w:tc>
          <w:tcPr>
            <w:tcW w:w="1276" w:type="dxa"/>
            <w:tcBorders>
              <w:top w:val="none" w:sz="4" w:space="0" w:color="000000"/>
              <w:left w:val="none" w:sz="4" w:space="0" w:color="000000"/>
              <w:bottom w:val="none" w:sz="4" w:space="0" w:color="000000"/>
              <w:right w:val="none" w:sz="4" w:space="0" w:color="000000"/>
            </w:tcBorders>
            <w:vAlign w:val="bottom"/>
          </w:tcPr>
          <w:p w:rsidR="004F0F0B" w:rsidRDefault="000535AB">
            <w:pPr>
              <w:shd w:val="clear" w:color="FFFFFF" w:themeColor="background1" w:fill="FFFFFF" w:themeFill="background1"/>
              <w:tabs>
                <w:tab w:val="decimal" w:pos="563"/>
              </w:tabs>
              <w:spacing w:line="260" w:lineRule="exact"/>
              <w:ind w:right="-96"/>
              <w:rPr>
                <w:color w:val="000000"/>
                <w:sz w:val="26"/>
                <w:szCs w:val="26"/>
              </w:rPr>
            </w:pPr>
            <w:r>
              <w:rPr>
                <w:color w:val="000000"/>
                <w:sz w:val="26"/>
                <w:szCs w:val="26"/>
              </w:rPr>
              <w:t>105,52</w:t>
            </w:r>
          </w:p>
        </w:tc>
      </w:tr>
      <w:tr w:rsidR="004F0F0B">
        <w:tc>
          <w:tcPr>
            <w:tcW w:w="4186" w:type="dxa"/>
            <w:tcBorders>
              <w:top w:val="none" w:sz="4" w:space="0" w:color="000000"/>
              <w:left w:val="none" w:sz="4" w:space="0" w:color="000000"/>
              <w:bottom w:val="none" w:sz="4" w:space="0" w:color="000000"/>
              <w:right w:val="none" w:sz="4" w:space="0" w:color="000000"/>
            </w:tcBorders>
            <w:vAlign w:val="bottom"/>
          </w:tcPr>
          <w:p w:rsidR="004F0F0B" w:rsidRDefault="000535AB">
            <w:pPr>
              <w:shd w:val="clear" w:color="FFFFFF" w:themeColor="background1" w:fill="FFFFFF" w:themeFill="background1"/>
              <w:spacing w:line="260" w:lineRule="exact"/>
              <w:rPr>
                <w:sz w:val="26"/>
                <w:szCs w:val="26"/>
              </w:rPr>
            </w:pPr>
            <w:r>
              <w:rPr>
                <w:sz w:val="26"/>
                <w:szCs w:val="26"/>
              </w:rPr>
              <w:t xml:space="preserve">   без овощей, картофеля и фруктов</w:t>
            </w:r>
          </w:p>
        </w:tc>
        <w:tc>
          <w:tcPr>
            <w:tcW w:w="1021" w:type="dxa"/>
            <w:tcBorders>
              <w:top w:val="none" w:sz="4" w:space="0" w:color="000000"/>
              <w:left w:val="none" w:sz="4" w:space="0" w:color="000000"/>
              <w:bottom w:val="none" w:sz="4" w:space="0" w:color="000000"/>
              <w:right w:val="none" w:sz="4" w:space="0" w:color="000000"/>
            </w:tcBorders>
            <w:vAlign w:val="bottom"/>
          </w:tcPr>
          <w:p w:rsidR="004F0F0B" w:rsidRDefault="000535AB">
            <w:pPr>
              <w:shd w:val="clear" w:color="FFFFFF" w:themeColor="background1" w:fill="FFFFFF" w:themeFill="background1"/>
              <w:tabs>
                <w:tab w:val="decimal" w:pos="438"/>
              </w:tabs>
              <w:spacing w:line="260" w:lineRule="exact"/>
              <w:ind w:left="-95" w:right="-96"/>
              <w:rPr>
                <w:color w:val="000000"/>
                <w:sz w:val="26"/>
                <w:szCs w:val="26"/>
              </w:rPr>
            </w:pPr>
            <w:r>
              <w:rPr>
                <w:color w:val="000000"/>
                <w:sz w:val="26"/>
                <w:szCs w:val="26"/>
              </w:rPr>
              <w:t>101,78</w:t>
            </w:r>
          </w:p>
        </w:tc>
        <w:tc>
          <w:tcPr>
            <w:tcW w:w="1175" w:type="dxa"/>
            <w:tcBorders>
              <w:top w:val="none" w:sz="4" w:space="0" w:color="000000"/>
              <w:left w:val="none" w:sz="4" w:space="0" w:color="000000"/>
              <w:bottom w:val="none" w:sz="4" w:space="0" w:color="000000"/>
              <w:right w:val="none" w:sz="4" w:space="0" w:color="000000"/>
            </w:tcBorders>
            <w:vAlign w:val="bottom"/>
          </w:tcPr>
          <w:p w:rsidR="004F0F0B" w:rsidRDefault="000535AB">
            <w:pPr>
              <w:shd w:val="clear" w:color="FFFFFF" w:themeColor="background1" w:fill="FFFFFF" w:themeFill="background1"/>
              <w:tabs>
                <w:tab w:val="decimal" w:pos="494"/>
              </w:tabs>
              <w:spacing w:line="260" w:lineRule="exact"/>
              <w:ind w:left="-95" w:right="-96"/>
              <w:rPr>
                <w:color w:val="000000"/>
                <w:sz w:val="26"/>
                <w:szCs w:val="26"/>
              </w:rPr>
            </w:pPr>
            <w:r>
              <w:rPr>
                <w:color w:val="000000"/>
                <w:sz w:val="26"/>
                <w:szCs w:val="26"/>
              </w:rPr>
              <w:t>101,15</w:t>
            </w:r>
          </w:p>
        </w:tc>
        <w:tc>
          <w:tcPr>
            <w:tcW w:w="1021" w:type="dxa"/>
            <w:tcBorders>
              <w:top w:val="none" w:sz="4" w:space="0" w:color="000000"/>
              <w:left w:val="none" w:sz="4" w:space="0" w:color="000000"/>
              <w:bottom w:val="none" w:sz="4" w:space="0" w:color="000000"/>
              <w:right w:val="none" w:sz="4" w:space="0" w:color="000000"/>
            </w:tcBorders>
            <w:vAlign w:val="bottom"/>
          </w:tcPr>
          <w:p w:rsidR="004F0F0B" w:rsidRDefault="000535AB">
            <w:pPr>
              <w:shd w:val="clear" w:color="FFFFFF" w:themeColor="background1" w:fill="FFFFFF" w:themeFill="background1"/>
              <w:tabs>
                <w:tab w:val="decimal" w:pos="438"/>
              </w:tabs>
              <w:spacing w:line="260" w:lineRule="exact"/>
              <w:ind w:left="-95" w:right="-96"/>
              <w:rPr>
                <w:color w:val="000000"/>
                <w:sz w:val="26"/>
                <w:szCs w:val="26"/>
              </w:rPr>
            </w:pPr>
            <w:r>
              <w:rPr>
                <w:color w:val="000000"/>
                <w:sz w:val="26"/>
                <w:szCs w:val="26"/>
              </w:rPr>
              <w:t>101,29</w:t>
            </w:r>
          </w:p>
        </w:tc>
        <w:tc>
          <w:tcPr>
            <w:tcW w:w="1021" w:type="dxa"/>
            <w:tcBorders>
              <w:top w:val="none" w:sz="4" w:space="0" w:color="000000"/>
              <w:left w:val="none" w:sz="4" w:space="0" w:color="000000"/>
              <w:bottom w:val="none" w:sz="4" w:space="0" w:color="000000"/>
              <w:right w:val="none" w:sz="4" w:space="0" w:color="000000"/>
            </w:tcBorders>
            <w:vAlign w:val="bottom"/>
          </w:tcPr>
          <w:p w:rsidR="004F0F0B" w:rsidRDefault="000535AB">
            <w:pPr>
              <w:shd w:val="clear" w:color="FFFFFF" w:themeColor="background1" w:fill="FFFFFF" w:themeFill="background1"/>
              <w:tabs>
                <w:tab w:val="decimal" w:pos="438"/>
              </w:tabs>
              <w:spacing w:line="260" w:lineRule="exact"/>
              <w:ind w:left="-95" w:right="-96"/>
              <w:rPr>
                <w:color w:val="000000"/>
                <w:sz w:val="26"/>
                <w:szCs w:val="26"/>
              </w:rPr>
            </w:pPr>
            <w:r>
              <w:rPr>
                <w:color w:val="000000"/>
                <w:sz w:val="26"/>
                <w:szCs w:val="26"/>
              </w:rPr>
              <w:t>100,45</w:t>
            </w:r>
          </w:p>
        </w:tc>
        <w:tc>
          <w:tcPr>
            <w:tcW w:w="885" w:type="dxa"/>
            <w:tcBorders>
              <w:top w:val="none" w:sz="4" w:space="0" w:color="000000"/>
              <w:left w:val="none" w:sz="4" w:space="0" w:color="000000"/>
              <w:bottom w:val="none" w:sz="4" w:space="0" w:color="000000"/>
              <w:right w:val="none" w:sz="4" w:space="0" w:color="000000"/>
            </w:tcBorders>
            <w:vAlign w:val="bottom"/>
          </w:tcPr>
          <w:p w:rsidR="004F0F0B" w:rsidRDefault="000535AB">
            <w:pPr>
              <w:shd w:val="clear" w:color="FFFFFF" w:themeColor="background1" w:fill="FFFFFF" w:themeFill="background1"/>
              <w:tabs>
                <w:tab w:val="decimal" w:pos="370"/>
              </w:tabs>
              <w:spacing w:line="260" w:lineRule="exact"/>
              <w:ind w:left="-95" w:right="-96"/>
              <w:rPr>
                <w:color w:val="000000"/>
                <w:sz w:val="26"/>
                <w:szCs w:val="26"/>
              </w:rPr>
            </w:pPr>
            <w:r>
              <w:rPr>
                <w:color w:val="000000"/>
                <w:sz w:val="26"/>
                <w:szCs w:val="26"/>
              </w:rPr>
              <w:t>100,46</w:t>
            </w:r>
          </w:p>
        </w:tc>
        <w:tc>
          <w:tcPr>
            <w:tcW w:w="1276" w:type="dxa"/>
            <w:tcBorders>
              <w:top w:val="none" w:sz="4" w:space="0" w:color="000000"/>
              <w:left w:val="none" w:sz="4" w:space="0" w:color="000000"/>
              <w:bottom w:val="none" w:sz="4" w:space="0" w:color="000000"/>
              <w:right w:val="none" w:sz="4" w:space="0" w:color="000000"/>
            </w:tcBorders>
            <w:vAlign w:val="bottom"/>
          </w:tcPr>
          <w:p w:rsidR="004F0F0B" w:rsidRDefault="000535AB">
            <w:pPr>
              <w:shd w:val="clear" w:color="FFFFFF" w:themeColor="background1" w:fill="FFFFFF" w:themeFill="background1"/>
              <w:tabs>
                <w:tab w:val="decimal" w:pos="563"/>
              </w:tabs>
              <w:spacing w:line="260" w:lineRule="exact"/>
              <w:ind w:right="-96"/>
              <w:rPr>
                <w:color w:val="000000"/>
                <w:sz w:val="26"/>
                <w:szCs w:val="26"/>
              </w:rPr>
            </w:pPr>
            <w:r>
              <w:rPr>
                <w:color w:val="000000"/>
                <w:sz w:val="26"/>
                <w:szCs w:val="26"/>
              </w:rPr>
              <w:t>105,23</w:t>
            </w:r>
          </w:p>
        </w:tc>
      </w:tr>
      <w:tr w:rsidR="004F0F0B">
        <w:tc>
          <w:tcPr>
            <w:tcW w:w="4186" w:type="dxa"/>
            <w:tcBorders>
              <w:top w:val="none" w:sz="4" w:space="0" w:color="000000"/>
              <w:left w:val="none" w:sz="4" w:space="0" w:color="000000"/>
              <w:bottom w:val="none" w:sz="4" w:space="0" w:color="000000"/>
              <w:right w:val="none" w:sz="4" w:space="0" w:color="000000"/>
            </w:tcBorders>
            <w:vAlign w:val="bottom"/>
          </w:tcPr>
          <w:p w:rsidR="004F0F0B" w:rsidRDefault="000535AB">
            <w:pPr>
              <w:shd w:val="clear" w:color="FFFFFF" w:themeColor="background1" w:fill="FFFFFF" w:themeFill="background1"/>
              <w:spacing w:line="260" w:lineRule="exact"/>
              <w:rPr>
                <w:sz w:val="26"/>
                <w:szCs w:val="26"/>
              </w:rPr>
            </w:pPr>
            <w:r>
              <w:rPr>
                <w:sz w:val="26"/>
                <w:szCs w:val="26"/>
              </w:rPr>
              <w:t xml:space="preserve"> непродовольственные товары</w:t>
            </w:r>
          </w:p>
        </w:tc>
        <w:tc>
          <w:tcPr>
            <w:tcW w:w="1021" w:type="dxa"/>
            <w:tcBorders>
              <w:top w:val="none" w:sz="4" w:space="0" w:color="000000"/>
              <w:left w:val="none" w:sz="4" w:space="0" w:color="000000"/>
              <w:bottom w:val="none" w:sz="4" w:space="0" w:color="000000"/>
              <w:right w:val="none" w:sz="4" w:space="0" w:color="000000"/>
            </w:tcBorders>
            <w:vAlign w:val="bottom"/>
          </w:tcPr>
          <w:p w:rsidR="004F0F0B" w:rsidRDefault="000535AB">
            <w:pPr>
              <w:shd w:val="clear" w:color="FFFFFF" w:themeColor="background1" w:fill="FFFFFF" w:themeFill="background1"/>
              <w:tabs>
                <w:tab w:val="decimal" w:pos="438"/>
              </w:tabs>
              <w:spacing w:line="260" w:lineRule="exact"/>
              <w:ind w:left="-95" w:right="-96"/>
              <w:rPr>
                <w:color w:val="000000"/>
                <w:sz w:val="26"/>
                <w:szCs w:val="26"/>
              </w:rPr>
            </w:pPr>
            <w:r>
              <w:rPr>
                <w:color w:val="000000"/>
                <w:sz w:val="26"/>
                <w:szCs w:val="26"/>
              </w:rPr>
              <w:t>100,78</w:t>
            </w:r>
          </w:p>
        </w:tc>
        <w:tc>
          <w:tcPr>
            <w:tcW w:w="1175" w:type="dxa"/>
            <w:tcBorders>
              <w:top w:val="none" w:sz="4" w:space="0" w:color="000000"/>
              <w:left w:val="none" w:sz="4" w:space="0" w:color="000000"/>
              <w:bottom w:val="none" w:sz="4" w:space="0" w:color="000000"/>
              <w:right w:val="none" w:sz="4" w:space="0" w:color="000000"/>
            </w:tcBorders>
            <w:vAlign w:val="bottom"/>
          </w:tcPr>
          <w:p w:rsidR="004F0F0B" w:rsidRDefault="000535AB">
            <w:pPr>
              <w:shd w:val="clear" w:color="FFFFFF" w:themeColor="background1" w:fill="FFFFFF" w:themeFill="background1"/>
              <w:tabs>
                <w:tab w:val="decimal" w:pos="494"/>
              </w:tabs>
              <w:spacing w:line="260" w:lineRule="exact"/>
              <w:ind w:left="-95" w:right="-96"/>
              <w:rPr>
                <w:color w:val="000000"/>
                <w:sz w:val="26"/>
                <w:szCs w:val="26"/>
              </w:rPr>
            </w:pPr>
            <w:r>
              <w:rPr>
                <w:color w:val="000000"/>
                <w:sz w:val="26"/>
                <w:szCs w:val="26"/>
              </w:rPr>
              <w:t>100,04</w:t>
            </w:r>
          </w:p>
        </w:tc>
        <w:tc>
          <w:tcPr>
            <w:tcW w:w="1021" w:type="dxa"/>
            <w:tcBorders>
              <w:top w:val="none" w:sz="4" w:space="0" w:color="000000"/>
              <w:left w:val="none" w:sz="4" w:space="0" w:color="000000"/>
              <w:bottom w:val="none" w:sz="4" w:space="0" w:color="000000"/>
              <w:right w:val="none" w:sz="4" w:space="0" w:color="000000"/>
            </w:tcBorders>
            <w:vAlign w:val="bottom"/>
          </w:tcPr>
          <w:p w:rsidR="004F0F0B" w:rsidRDefault="000535AB">
            <w:pPr>
              <w:shd w:val="clear" w:color="FFFFFF" w:themeColor="background1" w:fill="FFFFFF" w:themeFill="background1"/>
              <w:tabs>
                <w:tab w:val="decimal" w:pos="438"/>
              </w:tabs>
              <w:spacing w:line="260" w:lineRule="exact"/>
              <w:ind w:left="-95" w:right="-96"/>
              <w:rPr>
                <w:color w:val="000000"/>
                <w:sz w:val="26"/>
                <w:szCs w:val="26"/>
              </w:rPr>
            </w:pPr>
            <w:r>
              <w:rPr>
                <w:color w:val="000000"/>
                <w:sz w:val="26"/>
                <w:szCs w:val="26"/>
              </w:rPr>
              <w:t>100,75</w:t>
            </w:r>
          </w:p>
        </w:tc>
        <w:tc>
          <w:tcPr>
            <w:tcW w:w="1021" w:type="dxa"/>
            <w:tcBorders>
              <w:top w:val="none" w:sz="4" w:space="0" w:color="000000"/>
              <w:left w:val="none" w:sz="4" w:space="0" w:color="000000"/>
              <w:bottom w:val="none" w:sz="4" w:space="0" w:color="000000"/>
              <w:right w:val="none" w:sz="4" w:space="0" w:color="000000"/>
            </w:tcBorders>
            <w:vAlign w:val="bottom"/>
          </w:tcPr>
          <w:p w:rsidR="004F0F0B" w:rsidRDefault="000535AB">
            <w:pPr>
              <w:shd w:val="clear" w:color="FFFFFF" w:themeColor="background1" w:fill="FFFFFF" w:themeFill="background1"/>
              <w:tabs>
                <w:tab w:val="decimal" w:pos="438"/>
              </w:tabs>
              <w:spacing w:line="260" w:lineRule="exact"/>
              <w:ind w:left="-95" w:right="-96"/>
              <w:rPr>
                <w:color w:val="000000"/>
                <w:sz w:val="26"/>
                <w:szCs w:val="26"/>
                <w:highlight w:val="yellow"/>
              </w:rPr>
            </w:pPr>
            <w:r>
              <w:rPr>
                <w:color w:val="000000"/>
                <w:sz w:val="26"/>
                <w:szCs w:val="26"/>
              </w:rPr>
              <w:t>99,94</w:t>
            </w:r>
          </w:p>
        </w:tc>
        <w:tc>
          <w:tcPr>
            <w:tcW w:w="885" w:type="dxa"/>
            <w:tcBorders>
              <w:top w:val="none" w:sz="4" w:space="0" w:color="000000"/>
              <w:left w:val="none" w:sz="4" w:space="0" w:color="000000"/>
              <w:bottom w:val="none" w:sz="4" w:space="0" w:color="000000"/>
              <w:right w:val="none" w:sz="4" w:space="0" w:color="000000"/>
            </w:tcBorders>
            <w:vAlign w:val="bottom"/>
          </w:tcPr>
          <w:p w:rsidR="004F0F0B" w:rsidRDefault="000535AB">
            <w:pPr>
              <w:shd w:val="clear" w:color="FFFFFF" w:themeColor="background1" w:fill="FFFFFF" w:themeFill="background1"/>
              <w:tabs>
                <w:tab w:val="decimal" w:pos="370"/>
              </w:tabs>
              <w:spacing w:line="260" w:lineRule="exact"/>
              <w:ind w:left="-95" w:right="-96"/>
              <w:rPr>
                <w:color w:val="000000"/>
                <w:sz w:val="26"/>
                <w:szCs w:val="26"/>
              </w:rPr>
            </w:pPr>
            <w:r>
              <w:rPr>
                <w:color w:val="000000"/>
                <w:sz w:val="26"/>
                <w:szCs w:val="26"/>
              </w:rPr>
              <w:t>99,77</w:t>
            </w:r>
          </w:p>
        </w:tc>
        <w:tc>
          <w:tcPr>
            <w:tcW w:w="1276" w:type="dxa"/>
            <w:tcBorders>
              <w:top w:val="none" w:sz="4" w:space="0" w:color="000000"/>
              <w:left w:val="none" w:sz="4" w:space="0" w:color="000000"/>
              <w:bottom w:val="none" w:sz="4" w:space="0" w:color="000000"/>
              <w:right w:val="none" w:sz="4" w:space="0" w:color="000000"/>
            </w:tcBorders>
            <w:vAlign w:val="bottom"/>
          </w:tcPr>
          <w:p w:rsidR="004F0F0B" w:rsidRDefault="000535AB">
            <w:pPr>
              <w:shd w:val="clear" w:color="FFFFFF" w:themeColor="background1" w:fill="FFFFFF" w:themeFill="background1"/>
              <w:tabs>
                <w:tab w:val="decimal" w:pos="563"/>
              </w:tabs>
              <w:spacing w:line="260" w:lineRule="exact"/>
              <w:ind w:right="-96"/>
              <w:rPr>
                <w:color w:val="000000"/>
                <w:sz w:val="26"/>
                <w:szCs w:val="26"/>
              </w:rPr>
            </w:pPr>
            <w:r>
              <w:rPr>
                <w:color w:val="000000"/>
                <w:sz w:val="26"/>
                <w:szCs w:val="26"/>
              </w:rPr>
              <w:t>101,29</w:t>
            </w:r>
          </w:p>
        </w:tc>
      </w:tr>
      <w:tr w:rsidR="004F0F0B">
        <w:tc>
          <w:tcPr>
            <w:tcW w:w="4186" w:type="dxa"/>
            <w:tcBorders>
              <w:top w:val="none" w:sz="4" w:space="0" w:color="000000"/>
              <w:left w:val="none" w:sz="4" w:space="0" w:color="000000"/>
              <w:bottom w:val="single" w:sz="4" w:space="0" w:color="000000"/>
              <w:right w:val="none" w:sz="4" w:space="0" w:color="000000"/>
            </w:tcBorders>
            <w:vAlign w:val="bottom"/>
          </w:tcPr>
          <w:p w:rsidR="004F0F0B" w:rsidRDefault="000535AB">
            <w:pPr>
              <w:shd w:val="clear" w:color="FFFFFF" w:themeColor="background1" w:fill="FFFFFF" w:themeFill="background1"/>
              <w:spacing w:line="260" w:lineRule="exact"/>
              <w:rPr>
                <w:sz w:val="26"/>
                <w:szCs w:val="26"/>
              </w:rPr>
            </w:pPr>
            <w:r>
              <w:rPr>
                <w:sz w:val="26"/>
                <w:szCs w:val="26"/>
              </w:rPr>
              <w:t xml:space="preserve"> услуги</w:t>
            </w:r>
          </w:p>
        </w:tc>
        <w:tc>
          <w:tcPr>
            <w:tcW w:w="1021" w:type="dxa"/>
            <w:tcBorders>
              <w:top w:val="none" w:sz="4" w:space="0" w:color="000000"/>
              <w:left w:val="none" w:sz="4" w:space="0" w:color="000000"/>
              <w:bottom w:val="single" w:sz="4" w:space="0" w:color="000000"/>
              <w:right w:val="none" w:sz="4" w:space="0" w:color="000000"/>
            </w:tcBorders>
            <w:vAlign w:val="bottom"/>
          </w:tcPr>
          <w:p w:rsidR="004F0F0B" w:rsidRDefault="000535AB">
            <w:pPr>
              <w:shd w:val="clear" w:color="FFFFFF" w:themeColor="background1" w:fill="FFFFFF" w:themeFill="background1"/>
              <w:tabs>
                <w:tab w:val="decimal" w:pos="438"/>
              </w:tabs>
              <w:spacing w:line="260" w:lineRule="exact"/>
              <w:ind w:left="-95" w:right="-96"/>
              <w:rPr>
                <w:color w:val="000000"/>
                <w:sz w:val="26"/>
                <w:szCs w:val="26"/>
              </w:rPr>
            </w:pPr>
            <w:r>
              <w:rPr>
                <w:color w:val="000000"/>
                <w:sz w:val="26"/>
                <w:szCs w:val="26"/>
              </w:rPr>
              <w:t>101,14</w:t>
            </w:r>
          </w:p>
        </w:tc>
        <w:tc>
          <w:tcPr>
            <w:tcW w:w="1175" w:type="dxa"/>
            <w:tcBorders>
              <w:top w:val="none" w:sz="4" w:space="0" w:color="000000"/>
              <w:left w:val="none" w:sz="4" w:space="0" w:color="000000"/>
              <w:bottom w:val="single" w:sz="4" w:space="0" w:color="000000"/>
              <w:right w:val="none" w:sz="4" w:space="0" w:color="000000"/>
            </w:tcBorders>
            <w:vAlign w:val="bottom"/>
          </w:tcPr>
          <w:p w:rsidR="004F0F0B" w:rsidRDefault="000535AB">
            <w:pPr>
              <w:shd w:val="clear" w:color="FFFFFF" w:themeColor="background1" w:fill="FFFFFF" w:themeFill="background1"/>
              <w:tabs>
                <w:tab w:val="decimal" w:pos="494"/>
              </w:tabs>
              <w:spacing w:line="260" w:lineRule="exact"/>
              <w:ind w:left="-95" w:right="-96"/>
              <w:rPr>
                <w:color w:val="000000"/>
                <w:sz w:val="26"/>
                <w:szCs w:val="26"/>
              </w:rPr>
            </w:pPr>
            <w:r>
              <w:rPr>
                <w:color w:val="000000"/>
                <w:sz w:val="26"/>
                <w:szCs w:val="26"/>
              </w:rPr>
              <w:t>101,17</w:t>
            </w:r>
          </w:p>
        </w:tc>
        <w:tc>
          <w:tcPr>
            <w:tcW w:w="1021" w:type="dxa"/>
            <w:tcBorders>
              <w:top w:val="none" w:sz="4" w:space="0" w:color="000000"/>
              <w:left w:val="none" w:sz="4" w:space="0" w:color="000000"/>
              <w:bottom w:val="single" w:sz="4" w:space="0" w:color="000000"/>
              <w:right w:val="none" w:sz="4" w:space="0" w:color="000000"/>
            </w:tcBorders>
            <w:vAlign w:val="bottom"/>
          </w:tcPr>
          <w:p w:rsidR="004F0F0B" w:rsidRDefault="000535AB">
            <w:pPr>
              <w:shd w:val="clear" w:color="FFFFFF" w:themeColor="background1" w:fill="FFFFFF" w:themeFill="background1"/>
              <w:tabs>
                <w:tab w:val="decimal" w:pos="438"/>
              </w:tabs>
              <w:spacing w:line="260" w:lineRule="exact"/>
              <w:ind w:left="-95" w:right="-96"/>
              <w:rPr>
                <w:color w:val="000000"/>
                <w:sz w:val="26"/>
                <w:szCs w:val="26"/>
              </w:rPr>
            </w:pPr>
            <w:r>
              <w:rPr>
                <w:color w:val="000000"/>
                <w:sz w:val="26"/>
                <w:szCs w:val="26"/>
              </w:rPr>
              <w:t>101,05</w:t>
            </w:r>
          </w:p>
        </w:tc>
        <w:tc>
          <w:tcPr>
            <w:tcW w:w="1021" w:type="dxa"/>
            <w:tcBorders>
              <w:top w:val="none" w:sz="4" w:space="0" w:color="000000"/>
              <w:left w:val="none" w:sz="4" w:space="0" w:color="000000"/>
              <w:bottom w:val="single" w:sz="4" w:space="0" w:color="000000"/>
              <w:right w:val="none" w:sz="4" w:space="0" w:color="000000"/>
            </w:tcBorders>
            <w:vAlign w:val="bottom"/>
          </w:tcPr>
          <w:p w:rsidR="004F0F0B" w:rsidRDefault="000535AB">
            <w:pPr>
              <w:shd w:val="clear" w:color="FFFFFF" w:themeColor="background1" w:fill="FFFFFF" w:themeFill="background1"/>
              <w:tabs>
                <w:tab w:val="decimal" w:pos="438"/>
              </w:tabs>
              <w:spacing w:line="260" w:lineRule="exact"/>
              <w:ind w:left="-95" w:right="-96"/>
              <w:rPr>
                <w:color w:val="000000"/>
                <w:sz w:val="26"/>
                <w:szCs w:val="26"/>
              </w:rPr>
            </w:pPr>
            <w:r>
              <w:rPr>
                <w:color w:val="000000"/>
                <w:sz w:val="26"/>
                <w:szCs w:val="26"/>
              </w:rPr>
              <w:t>100,03</w:t>
            </w:r>
          </w:p>
        </w:tc>
        <w:tc>
          <w:tcPr>
            <w:tcW w:w="885" w:type="dxa"/>
            <w:tcBorders>
              <w:top w:val="none" w:sz="4" w:space="0" w:color="000000"/>
              <w:left w:val="none" w:sz="4" w:space="0" w:color="000000"/>
              <w:bottom w:val="single" w:sz="4" w:space="0" w:color="000000"/>
              <w:right w:val="none" w:sz="4" w:space="0" w:color="000000"/>
            </w:tcBorders>
            <w:vAlign w:val="bottom"/>
          </w:tcPr>
          <w:p w:rsidR="004F0F0B" w:rsidRDefault="000535AB">
            <w:pPr>
              <w:shd w:val="clear" w:color="FFFFFF" w:themeColor="background1" w:fill="FFFFFF" w:themeFill="background1"/>
              <w:tabs>
                <w:tab w:val="decimal" w:pos="370"/>
              </w:tabs>
              <w:spacing w:line="260" w:lineRule="exact"/>
              <w:ind w:left="-95" w:right="-96"/>
              <w:rPr>
                <w:color w:val="000000"/>
                <w:sz w:val="26"/>
                <w:szCs w:val="26"/>
              </w:rPr>
            </w:pPr>
            <w:r>
              <w:rPr>
                <w:color w:val="000000"/>
                <w:sz w:val="26"/>
                <w:szCs w:val="26"/>
              </w:rPr>
              <w:t>100,84</w:t>
            </w:r>
          </w:p>
        </w:tc>
        <w:tc>
          <w:tcPr>
            <w:tcW w:w="1276" w:type="dxa"/>
            <w:tcBorders>
              <w:top w:val="none" w:sz="4" w:space="0" w:color="000000"/>
              <w:left w:val="none" w:sz="4" w:space="0" w:color="000000"/>
              <w:bottom w:val="single" w:sz="4" w:space="0" w:color="000000"/>
              <w:right w:val="none" w:sz="4" w:space="0" w:color="000000"/>
            </w:tcBorders>
            <w:vAlign w:val="bottom"/>
          </w:tcPr>
          <w:p w:rsidR="004F0F0B" w:rsidRDefault="000535AB">
            <w:pPr>
              <w:shd w:val="clear" w:color="FFFFFF" w:themeColor="background1" w:fill="FFFFFF" w:themeFill="background1"/>
              <w:tabs>
                <w:tab w:val="decimal" w:pos="563"/>
              </w:tabs>
              <w:spacing w:line="260" w:lineRule="exact"/>
              <w:ind w:right="-96"/>
              <w:rPr>
                <w:color w:val="000000"/>
                <w:sz w:val="26"/>
                <w:szCs w:val="26"/>
              </w:rPr>
            </w:pPr>
            <w:r>
              <w:rPr>
                <w:color w:val="000000"/>
                <w:sz w:val="26"/>
                <w:szCs w:val="26"/>
              </w:rPr>
              <w:t>104,29</w:t>
            </w:r>
          </w:p>
        </w:tc>
      </w:tr>
    </w:tbl>
    <w:p w:rsidR="004F0F0B" w:rsidRDefault="004F0F0B">
      <w:pPr>
        <w:pStyle w:val="220"/>
        <w:shd w:val="clear" w:color="FFFFFF" w:themeColor="background1" w:fill="FFFFFF" w:themeFill="background1"/>
        <w:rPr>
          <w:b/>
          <w:i/>
        </w:rPr>
      </w:pPr>
    </w:p>
    <w:p w:rsidR="004F0F0B" w:rsidRDefault="000535AB">
      <w:pPr>
        <w:pStyle w:val="220"/>
        <w:shd w:val="clear" w:color="FFFFFF" w:themeColor="background1" w:fill="FFFFFF" w:themeFill="background1"/>
      </w:pPr>
      <w:r>
        <w:rPr>
          <w:b/>
          <w:i/>
        </w:rPr>
        <w:t>Индекс цен производителей</w:t>
      </w:r>
      <w:r>
        <w:rPr>
          <w:b/>
        </w:rPr>
        <w:t xml:space="preserve"> </w:t>
      </w:r>
      <w:r>
        <w:t>промышленных товаров в мае 2026 года по сравнению с апрелем 2026 года – 101,4%, из него лесозаготовки – 101,2%, рыбоводство – 100,0%, добыча полезных ископаемых – 100,1%, обрабатывающие производства – 102,0%, обеспечение электрической энергией, газом и паром; кондиционирование воздуха – 98,1%.</w:t>
      </w:r>
    </w:p>
    <w:p w:rsidR="004F0F0B" w:rsidRDefault="000535AB">
      <w:pPr>
        <w:shd w:val="clear" w:color="FFFFFF" w:themeColor="background1" w:fill="FFFFFF" w:themeFill="background1"/>
        <w:ind w:firstLine="709"/>
        <w:jc w:val="both"/>
        <w:rPr>
          <w:sz w:val="28"/>
          <w:szCs w:val="28"/>
        </w:rPr>
      </w:pPr>
      <w:r>
        <w:rPr>
          <w:b/>
          <w:sz w:val="28"/>
          <w:szCs w:val="28"/>
          <w:highlight w:val="white"/>
        </w:rPr>
        <w:t>Оборот розничной торговли</w:t>
      </w:r>
      <w:r>
        <w:rPr>
          <w:sz w:val="28"/>
          <w:szCs w:val="28"/>
          <w:highlight w:val="white"/>
        </w:rPr>
        <w:t xml:space="preserve"> в январе-мае 2026 года составил 379,2 млрд рублей, что в сопоставимых ценах на </w:t>
      </w:r>
      <w:r>
        <w:rPr>
          <w:b/>
          <w:bCs/>
          <w:sz w:val="28"/>
          <w:szCs w:val="28"/>
          <w:highlight w:val="white"/>
        </w:rPr>
        <w:t>3,0%</w:t>
      </w:r>
      <w:r>
        <w:rPr>
          <w:sz w:val="28"/>
          <w:szCs w:val="28"/>
          <w:highlight w:val="white"/>
        </w:rPr>
        <w:t xml:space="preserve"> больше, чем в соответствующем периоде прошлого года.</w:t>
      </w:r>
    </w:p>
    <w:p w:rsidR="004F0F0B" w:rsidRDefault="000535AB">
      <w:pPr>
        <w:shd w:val="clear" w:color="FFFFFF" w:themeColor="background1" w:fill="FFFFFF" w:themeFill="background1"/>
        <w:ind w:firstLine="709"/>
        <w:jc w:val="both"/>
        <w:rPr>
          <w:b/>
          <w:i/>
          <w:sz w:val="28"/>
          <w:szCs w:val="28"/>
        </w:rPr>
      </w:pPr>
      <w:r>
        <w:rPr>
          <w:b/>
          <w:i/>
          <w:sz w:val="28"/>
          <w:szCs w:val="28"/>
        </w:rPr>
        <w:t xml:space="preserve">Оборот общественного питания </w:t>
      </w:r>
      <w:r>
        <w:rPr>
          <w:sz w:val="28"/>
          <w:szCs w:val="28"/>
        </w:rPr>
        <w:t xml:space="preserve">в январе-мае 2026 года составил 27,7 млрд рублей или  </w:t>
      </w:r>
      <w:r>
        <w:rPr>
          <w:b/>
          <w:bCs/>
          <w:sz w:val="28"/>
          <w:szCs w:val="28"/>
        </w:rPr>
        <w:t>109,1</w:t>
      </w:r>
      <w:r>
        <w:rPr>
          <w:b/>
          <w:sz w:val="28"/>
          <w:szCs w:val="28"/>
        </w:rPr>
        <w:t>%</w:t>
      </w:r>
      <w:r>
        <w:rPr>
          <w:sz w:val="28"/>
          <w:szCs w:val="28"/>
        </w:rPr>
        <w:t xml:space="preserve"> к соответствующему периоду прошлого года.</w:t>
      </w:r>
    </w:p>
    <w:p w:rsidR="004F0F0B" w:rsidRDefault="000535AB">
      <w:pPr>
        <w:shd w:val="clear" w:color="FFFFFF" w:themeColor="background1" w:fill="FFFFFF" w:themeFill="background1"/>
        <w:ind w:firstLine="709"/>
        <w:jc w:val="both"/>
        <w:rPr>
          <w:b/>
          <w:i/>
          <w:sz w:val="28"/>
          <w:szCs w:val="28"/>
        </w:rPr>
      </w:pPr>
      <w:r>
        <w:rPr>
          <w:b/>
          <w:i/>
          <w:sz w:val="28"/>
          <w:szCs w:val="28"/>
        </w:rPr>
        <w:lastRenderedPageBreak/>
        <w:t>Объем платных услуг</w:t>
      </w:r>
      <w:r>
        <w:rPr>
          <w:sz w:val="28"/>
          <w:szCs w:val="28"/>
        </w:rPr>
        <w:t xml:space="preserve">, </w:t>
      </w:r>
      <w:r>
        <w:rPr>
          <w:sz w:val="28"/>
          <w:szCs w:val="28"/>
          <w:highlight w:val="white"/>
        </w:rPr>
        <w:t xml:space="preserve">оказанных населению, в январе-мае 2026 года составил 93,4 млрд рублей и в сопоставимых ценах увеличился по сравнению с январем-маем 2025 года на </w:t>
      </w:r>
      <w:r>
        <w:rPr>
          <w:b/>
          <w:bCs/>
          <w:sz w:val="28"/>
          <w:szCs w:val="28"/>
          <w:highlight w:val="white"/>
        </w:rPr>
        <w:t>7,6%</w:t>
      </w:r>
      <w:r>
        <w:rPr>
          <w:sz w:val="28"/>
          <w:szCs w:val="28"/>
          <w:highlight w:val="white"/>
        </w:rPr>
        <w:t>.</w:t>
      </w:r>
    </w:p>
    <w:p w:rsidR="004F0F0B" w:rsidRDefault="000535AB">
      <w:pPr>
        <w:shd w:val="clear" w:color="FFFFFF" w:themeColor="background1" w:fill="FFFFFF" w:themeFill="background1"/>
        <w:ind w:firstLine="709"/>
        <w:jc w:val="both"/>
        <w:rPr>
          <w:sz w:val="28"/>
          <w:szCs w:val="28"/>
          <w:highlight w:val="white"/>
        </w:rPr>
      </w:pPr>
      <w:r>
        <w:rPr>
          <w:sz w:val="28"/>
          <w:szCs w:val="28"/>
          <w:highlight w:val="white"/>
        </w:rPr>
        <w:t xml:space="preserve">В общем объеме бытовых услуг наибольший удельный вес приходится на техобслуживание и ремонт транспортных средств, машин и оборудования – 25,2%, </w:t>
      </w:r>
      <w:r>
        <w:rPr>
          <w:iCs/>
          <w:sz w:val="28"/>
          <w:szCs w:val="28"/>
          <w:highlight w:val="white"/>
        </w:rPr>
        <w:t>ремонт и строительство жилья и других построек</w:t>
      </w:r>
      <w:r>
        <w:rPr>
          <w:sz w:val="28"/>
          <w:szCs w:val="28"/>
          <w:highlight w:val="white"/>
        </w:rPr>
        <w:t xml:space="preserve"> – 23,2%, парикмахерские и косметические услуги – 11,4%.</w:t>
      </w:r>
    </w:p>
    <w:p w:rsidR="004F0F0B" w:rsidRDefault="000535AB">
      <w:pPr>
        <w:shd w:val="clear" w:color="FFFFFF" w:themeColor="background1" w:fill="FFFFFF" w:themeFill="background1"/>
        <w:ind w:firstLine="709"/>
        <w:jc w:val="both"/>
        <w:rPr>
          <w:bCs/>
          <w:iCs/>
          <w:sz w:val="28"/>
          <w:szCs w:val="28"/>
          <w:highlight w:val="white"/>
        </w:rPr>
      </w:pPr>
      <w:r w:rsidRPr="000535AB">
        <w:rPr>
          <w:b/>
          <w:bCs/>
          <w:iCs/>
          <w:sz w:val="28"/>
          <w:szCs w:val="28"/>
          <w:highlight w:val="white"/>
        </w:rPr>
        <w:t>Средняя номинальная заработная плата</w:t>
      </w:r>
      <w:r w:rsidRPr="000535AB">
        <w:rPr>
          <w:bCs/>
          <w:iCs/>
          <w:sz w:val="28"/>
          <w:szCs w:val="28"/>
          <w:highlight w:val="white"/>
        </w:rPr>
        <w:t xml:space="preserve">, </w:t>
      </w:r>
      <w:r>
        <w:rPr>
          <w:bCs/>
          <w:iCs/>
          <w:sz w:val="28"/>
          <w:szCs w:val="28"/>
          <w:highlight w:val="white"/>
        </w:rPr>
        <w:t xml:space="preserve">начисленная за январь-апрель 2026 года, составила 98 791 руб. или 111,4% к аналогичному периоду предыдущего года. </w:t>
      </w:r>
    </w:p>
    <w:p w:rsidR="004F0F0B" w:rsidRDefault="000535AB">
      <w:pPr>
        <w:shd w:val="clear" w:color="FFFFFF" w:themeColor="background1" w:fill="FFFFFF" w:themeFill="background1"/>
        <w:ind w:firstLine="709"/>
        <w:jc w:val="both"/>
        <w:rPr>
          <w:bCs/>
          <w:iCs/>
          <w:sz w:val="28"/>
          <w:szCs w:val="28"/>
          <w:highlight w:val="white"/>
        </w:rPr>
      </w:pPr>
      <w:r>
        <w:rPr>
          <w:b/>
          <w:bCs/>
          <w:i/>
          <w:iCs/>
          <w:sz w:val="28"/>
          <w:szCs w:val="28"/>
          <w:highlight w:val="white"/>
        </w:rPr>
        <w:t>Реальная начисленная заработная плата</w:t>
      </w:r>
      <w:r>
        <w:rPr>
          <w:bCs/>
          <w:i/>
          <w:iCs/>
          <w:sz w:val="28"/>
          <w:szCs w:val="28"/>
          <w:highlight w:val="white"/>
        </w:rPr>
        <w:t>,</w:t>
      </w:r>
      <w:r>
        <w:rPr>
          <w:bCs/>
          <w:iCs/>
          <w:sz w:val="28"/>
          <w:szCs w:val="28"/>
          <w:highlight w:val="white"/>
        </w:rPr>
        <w:t xml:space="preserve"> рассчитанная с учетом индекса потребительских цен, в январе-апреле 2026 года составила 103,9% к уровню января-апреля 2025 года.</w:t>
      </w:r>
    </w:p>
    <w:p w:rsidR="004F0F0B" w:rsidRDefault="000535AB">
      <w:pPr>
        <w:shd w:val="clear" w:color="FFFFFF" w:themeColor="background1" w:fill="FFFFFF" w:themeFill="background1"/>
        <w:ind w:firstLine="709"/>
        <w:jc w:val="both"/>
        <w:rPr>
          <w:sz w:val="28"/>
          <w:szCs w:val="28"/>
          <w:highlight w:val="white"/>
        </w:rPr>
      </w:pPr>
      <w:r>
        <w:rPr>
          <w:sz w:val="28"/>
          <w:szCs w:val="28"/>
          <w:highlight w:val="white"/>
        </w:rPr>
        <w:t xml:space="preserve">О наличии просроченной задолженности по заработной плате по состоянию на конец мая 2026 года сообщили 4 организации (без субъектов малого предпринимательства) наблюдаемых видов экономической деятельности. Суммарная задолженность составила </w:t>
      </w:r>
      <w:r>
        <w:rPr>
          <w:b/>
          <w:bCs/>
          <w:sz w:val="28"/>
          <w:szCs w:val="28"/>
          <w:highlight w:val="white"/>
        </w:rPr>
        <w:t>47,3</w:t>
      </w:r>
      <w:r>
        <w:rPr>
          <w:sz w:val="28"/>
          <w:szCs w:val="28"/>
          <w:highlight w:val="white"/>
        </w:rPr>
        <w:t xml:space="preserve"> </w:t>
      </w:r>
      <w:r>
        <w:rPr>
          <w:b/>
          <w:bCs/>
          <w:sz w:val="28"/>
          <w:szCs w:val="28"/>
          <w:highlight w:val="white"/>
        </w:rPr>
        <w:t>млн руб</w:t>
      </w:r>
      <w:r>
        <w:rPr>
          <w:sz w:val="28"/>
          <w:szCs w:val="28"/>
          <w:highlight w:val="white"/>
        </w:rPr>
        <w:t>.: производство компьютеров, электронных и оптических изделий – 23,7 млн руб.; деятельность финансовая и страховая – 4,3 млн руб.; производство машин и оборудования, не включенных в другие группировки – 10,9 млн руб.; строительство – 8,5 млн руб. Численность работников, перед которыми организации имеют просроченную задолженность, составляет 255 человек.</w:t>
      </w:r>
    </w:p>
    <w:p w:rsidR="004F0F0B" w:rsidRDefault="000535AB">
      <w:pPr>
        <w:shd w:val="clear" w:color="FFFFFF" w:themeColor="background1" w:fill="FFFFFF" w:themeFill="background1"/>
        <w:ind w:firstLine="709"/>
        <w:jc w:val="both"/>
        <w:rPr>
          <w:sz w:val="28"/>
          <w:szCs w:val="28"/>
          <w:highlight w:val="white"/>
        </w:rPr>
      </w:pPr>
      <w:r>
        <w:rPr>
          <w:sz w:val="28"/>
          <w:szCs w:val="28"/>
          <w:highlight w:val="white"/>
        </w:rPr>
        <w:t>Задолженность по выплате пенсий и детских пособий на территории области отсутствует.</w:t>
      </w:r>
    </w:p>
    <w:p w:rsidR="004F0F0B" w:rsidRDefault="000535AB">
      <w:pPr>
        <w:shd w:val="clear" w:color="FFFFFF" w:themeColor="background1" w:fill="FFFFFF" w:themeFill="background1"/>
        <w:ind w:firstLine="709"/>
        <w:jc w:val="both"/>
        <w:rPr>
          <w:iCs/>
          <w:sz w:val="28"/>
          <w:szCs w:val="28"/>
          <w:highlight w:val="white"/>
        </w:rPr>
      </w:pPr>
      <w:r>
        <w:rPr>
          <w:b/>
          <w:i/>
          <w:sz w:val="28"/>
          <w:szCs w:val="28"/>
          <w:highlight w:val="white"/>
        </w:rPr>
        <w:t>Средний размер назначенной пенсии</w:t>
      </w:r>
      <w:r>
        <w:rPr>
          <w:b/>
          <w:sz w:val="28"/>
          <w:szCs w:val="28"/>
          <w:highlight w:val="white"/>
        </w:rPr>
        <w:t xml:space="preserve"> </w:t>
      </w:r>
      <w:r>
        <w:rPr>
          <w:sz w:val="28"/>
          <w:szCs w:val="28"/>
          <w:highlight w:val="white"/>
        </w:rPr>
        <w:t xml:space="preserve">(без учета компенсационных выплат) на 1 июня </w:t>
      </w:r>
      <w:r>
        <w:rPr>
          <w:iCs/>
          <w:sz w:val="28"/>
          <w:szCs w:val="28"/>
          <w:highlight w:val="white"/>
        </w:rPr>
        <w:t>2026 года составил по области 26 510,86 руб., количество получателей пенсии – 471 551 человек.</w:t>
      </w:r>
    </w:p>
    <w:p w:rsidR="004F0F0B" w:rsidRDefault="004F0F0B">
      <w:pPr>
        <w:shd w:val="clear" w:color="FFFFFF" w:themeColor="background1" w:fill="FFFFFF" w:themeFill="background1"/>
        <w:ind w:firstLine="709"/>
        <w:jc w:val="both"/>
        <w:rPr>
          <w:iCs/>
          <w:sz w:val="28"/>
          <w:szCs w:val="28"/>
        </w:rPr>
      </w:pPr>
    </w:p>
    <w:p w:rsidR="004F0F0B" w:rsidRDefault="000535AB">
      <w:pPr>
        <w:shd w:val="clear" w:color="FFFFFF" w:themeColor="background1" w:fill="FFFFFF" w:themeFill="background1"/>
        <w:ind w:firstLine="709"/>
        <w:jc w:val="both"/>
      </w:pPr>
      <w:r>
        <w:rPr>
          <w:b/>
          <w:sz w:val="28"/>
          <w:szCs w:val="28"/>
        </w:rPr>
        <w:t>Рынок труда</w:t>
      </w:r>
      <w:r>
        <w:rPr>
          <w:sz w:val="28"/>
          <w:szCs w:val="28"/>
        </w:rPr>
        <w:t xml:space="preserve"> Ленинградской области в мае 2026 года оставался стабильным. За истекший период 2026 года (с 01.01.2026 по 31.05.2026):</w:t>
      </w:r>
    </w:p>
    <w:p w:rsidR="004F0F0B" w:rsidRDefault="000535AB">
      <w:pPr>
        <w:shd w:val="clear" w:color="FFFFFF" w:themeColor="background1" w:fill="FFFFFF" w:themeFill="background1"/>
        <w:ind w:firstLine="709"/>
        <w:jc w:val="both"/>
      </w:pPr>
      <w:r>
        <w:rPr>
          <w:sz w:val="28"/>
          <w:szCs w:val="28"/>
        </w:rPr>
        <w:t>- количество граждан, обратившихся в  службу занятости региона за помощью в трудоустройстве, составило 11 тыс. чел.;</w:t>
      </w:r>
    </w:p>
    <w:p w:rsidR="004F0F0B" w:rsidRDefault="000535AB">
      <w:pPr>
        <w:shd w:val="clear" w:color="FFFFFF" w:themeColor="background1" w:fill="FFFFFF" w:themeFill="background1"/>
        <w:ind w:firstLine="709"/>
        <w:jc w:val="both"/>
      </w:pPr>
      <w:r>
        <w:rPr>
          <w:sz w:val="28"/>
          <w:szCs w:val="28"/>
        </w:rPr>
        <w:t>- признано безработными – 3,5 тыс. чел.;</w:t>
      </w:r>
    </w:p>
    <w:p w:rsidR="004F0F0B" w:rsidRDefault="000535AB">
      <w:pPr>
        <w:shd w:val="clear" w:color="FFFFFF" w:themeColor="background1" w:fill="FFFFFF" w:themeFill="background1"/>
        <w:ind w:firstLine="709"/>
        <w:jc w:val="both"/>
        <w:rPr>
          <w:sz w:val="28"/>
          <w:szCs w:val="28"/>
        </w:rPr>
      </w:pPr>
      <w:r>
        <w:rPr>
          <w:sz w:val="28"/>
          <w:szCs w:val="28"/>
        </w:rPr>
        <w:t>- трудоустроены на все виды работ – 4,8 тыс. чел. (в том числе на временную занятость подростков в свободное от учебы время – 991 чел.).</w:t>
      </w:r>
    </w:p>
    <w:p w:rsidR="004F0F0B" w:rsidRDefault="000535AB">
      <w:pPr>
        <w:shd w:val="clear" w:color="FFFFFF" w:themeColor="background1" w:fill="FFFFFF" w:themeFill="background1"/>
        <w:ind w:firstLine="709"/>
        <w:jc w:val="both"/>
        <w:rPr>
          <w:sz w:val="28"/>
          <w:szCs w:val="28"/>
        </w:rPr>
      </w:pPr>
      <w:r>
        <w:rPr>
          <w:sz w:val="28"/>
          <w:szCs w:val="28"/>
        </w:rPr>
        <w:t>На 01.06.2026 в Ленинградской области:</w:t>
      </w:r>
    </w:p>
    <w:p w:rsidR="004F0F0B" w:rsidRDefault="000535AB">
      <w:pPr>
        <w:shd w:val="clear" w:color="FFFFFF" w:themeColor="background1" w:fill="FFFFFF" w:themeFill="background1"/>
        <w:ind w:firstLine="709"/>
        <w:jc w:val="both"/>
        <w:rPr>
          <w:bCs/>
          <w:sz w:val="28"/>
          <w:szCs w:val="28"/>
        </w:rPr>
      </w:pPr>
      <w:r>
        <w:rPr>
          <w:bCs/>
          <w:sz w:val="28"/>
          <w:szCs w:val="28"/>
        </w:rPr>
        <w:t xml:space="preserve">- уровень  регистрируемой  безработицы составил  </w:t>
      </w:r>
      <w:r>
        <w:rPr>
          <w:b/>
          <w:bCs/>
          <w:sz w:val="28"/>
          <w:szCs w:val="28"/>
        </w:rPr>
        <w:t xml:space="preserve">0,2%, </w:t>
      </w:r>
    </w:p>
    <w:p w:rsidR="004F0F0B" w:rsidRDefault="000535AB">
      <w:pPr>
        <w:shd w:val="clear" w:color="FFFFFF" w:themeColor="background1" w:fill="FFFFFF" w:themeFill="background1"/>
        <w:ind w:firstLine="709"/>
        <w:jc w:val="both"/>
        <w:rPr>
          <w:bCs/>
          <w:sz w:val="28"/>
          <w:szCs w:val="28"/>
        </w:rPr>
      </w:pPr>
      <w:r>
        <w:rPr>
          <w:bCs/>
          <w:sz w:val="28"/>
          <w:szCs w:val="28"/>
        </w:rPr>
        <w:t xml:space="preserve">- численность безработных граждан составляет </w:t>
      </w:r>
      <w:r>
        <w:rPr>
          <w:b/>
          <w:bCs/>
          <w:sz w:val="28"/>
          <w:szCs w:val="28"/>
        </w:rPr>
        <w:t>2,5 тыс. чел.</w:t>
      </w:r>
      <w:r>
        <w:rPr>
          <w:bCs/>
          <w:sz w:val="28"/>
          <w:szCs w:val="28"/>
        </w:rPr>
        <w:t>, что на 187 чел. или на 8% больше, чем на начало 2026 года (2,3 тыс. чел.).</w:t>
      </w:r>
    </w:p>
    <w:p w:rsidR="004F0F0B" w:rsidRDefault="000535AB">
      <w:pPr>
        <w:shd w:val="clear" w:color="FFFFFF" w:themeColor="background1" w:fill="FFFFFF" w:themeFill="background1"/>
        <w:ind w:firstLine="709"/>
        <w:jc w:val="both"/>
        <w:rPr>
          <w:sz w:val="28"/>
          <w:szCs w:val="28"/>
        </w:rPr>
      </w:pPr>
      <w:r>
        <w:rPr>
          <w:sz w:val="28"/>
          <w:szCs w:val="28"/>
        </w:rPr>
        <w:t xml:space="preserve">Соотношение спроса и предложения рабочей силы на рынке труда Ленинградской области: </w:t>
      </w:r>
    </w:p>
    <w:p w:rsidR="004F0F0B" w:rsidRDefault="000535AB">
      <w:pPr>
        <w:shd w:val="clear" w:color="FFFFFF" w:themeColor="background1" w:fill="FFFFFF" w:themeFill="background1"/>
        <w:ind w:firstLine="709"/>
        <w:jc w:val="both"/>
        <w:rPr>
          <w:sz w:val="28"/>
          <w:szCs w:val="28"/>
          <w:highlight w:val="yellow"/>
        </w:rPr>
      </w:pPr>
      <w:r>
        <w:rPr>
          <w:sz w:val="28"/>
          <w:szCs w:val="28"/>
        </w:rPr>
        <w:t xml:space="preserve">- текущий спрос на рабочую силу в </w:t>
      </w:r>
      <w:r>
        <w:rPr>
          <w:b/>
          <w:bCs/>
          <w:sz w:val="28"/>
          <w:szCs w:val="28"/>
        </w:rPr>
        <w:t>27,4 раза</w:t>
      </w:r>
      <w:r>
        <w:rPr>
          <w:sz w:val="28"/>
          <w:szCs w:val="28"/>
        </w:rPr>
        <w:t xml:space="preserve"> превышает </w:t>
      </w:r>
      <w:r>
        <w:rPr>
          <w:sz w:val="28"/>
          <w:szCs w:val="28"/>
          <w:highlight w:val="white"/>
        </w:rPr>
        <w:t>предложение ра</w:t>
      </w:r>
      <w:r>
        <w:rPr>
          <w:sz w:val="28"/>
          <w:szCs w:val="28"/>
        </w:rPr>
        <w:t>бочей силы на рынке труда (на начало 2026 года – в 27,3 раза). Без учета временной потребности в рабочей силе для реализации крупных инвестиционных проектов в Кингисеппском районе – на 1 соискателя 5 вакансий.</w:t>
      </w:r>
    </w:p>
    <w:p w:rsidR="004F0F0B" w:rsidRDefault="004F0F0B">
      <w:pPr>
        <w:shd w:val="clear" w:color="FFFFFF" w:themeColor="background1" w:fill="FFFFFF" w:themeFill="background1"/>
        <w:ind w:firstLine="709"/>
        <w:jc w:val="both"/>
        <w:rPr>
          <w:sz w:val="28"/>
          <w:szCs w:val="28"/>
        </w:rPr>
      </w:pPr>
    </w:p>
    <w:p w:rsidR="004F0F0B" w:rsidRDefault="000535AB">
      <w:pPr>
        <w:pStyle w:val="af1"/>
        <w:shd w:val="clear" w:color="auto" w:fill="FFFFFF" w:themeFill="background1"/>
        <w:ind w:firstLine="0"/>
        <w:jc w:val="center"/>
        <w:rPr>
          <w:b/>
          <w:szCs w:val="28"/>
        </w:rPr>
      </w:pPr>
      <w:r>
        <w:rPr>
          <w:b/>
          <w:szCs w:val="28"/>
        </w:rPr>
        <w:lastRenderedPageBreak/>
        <w:t xml:space="preserve">ОЖИДАЕМЫЕ ИТОГИ СОЦИАЛЬНО-ЭКОНОМИЧЕСКОГО </w:t>
      </w:r>
    </w:p>
    <w:p w:rsidR="004F0F0B" w:rsidRDefault="000535AB">
      <w:pPr>
        <w:pStyle w:val="af1"/>
        <w:shd w:val="clear" w:color="auto" w:fill="FFFFFF" w:themeFill="background1"/>
        <w:ind w:firstLine="0"/>
        <w:jc w:val="center"/>
        <w:rPr>
          <w:b/>
          <w:szCs w:val="28"/>
        </w:rPr>
      </w:pPr>
      <w:r>
        <w:rPr>
          <w:b/>
          <w:szCs w:val="28"/>
        </w:rPr>
        <w:t xml:space="preserve">РАЗВИТИЯ ЛЕНИНГРАДСКОЙ ОБЛАСТИ </w:t>
      </w:r>
    </w:p>
    <w:p w:rsidR="004F0F0B" w:rsidRDefault="000535AB">
      <w:pPr>
        <w:pStyle w:val="af1"/>
        <w:shd w:val="clear" w:color="auto" w:fill="FFFFFF" w:themeFill="background1"/>
        <w:ind w:firstLine="0"/>
        <w:jc w:val="center"/>
        <w:rPr>
          <w:b/>
          <w:szCs w:val="28"/>
        </w:rPr>
      </w:pPr>
      <w:r>
        <w:rPr>
          <w:b/>
          <w:szCs w:val="28"/>
        </w:rPr>
        <w:t>ЗА 2026 ГОД</w:t>
      </w:r>
    </w:p>
    <w:p w:rsidR="004F0F0B" w:rsidRDefault="004F0F0B">
      <w:pPr>
        <w:shd w:val="clear" w:color="auto" w:fill="FFFFFF" w:themeFill="background1"/>
        <w:ind w:firstLine="720"/>
        <w:jc w:val="both"/>
        <w:rPr>
          <w:sz w:val="28"/>
          <w:szCs w:val="28"/>
        </w:rPr>
      </w:pPr>
    </w:p>
    <w:p w:rsidR="004F0F0B" w:rsidRDefault="000535AB">
      <w:pPr>
        <w:shd w:val="clear" w:color="auto" w:fill="FFFFFF" w:themeFill="background1"/>
        <w:ind w:firstLine="720"/>
        <w:jc w:val="both"/>
        <w:rPr>
          <w:sz w:val="28"/>
          <w:szCs w:val="28"/>
        </w:rPr>
      </w:pPr>
      <w:r>
        <w:rPr>
          <w:sz w:val="28"/>
          <w:szCs w:val="28"/>
        </w:rPr>
        <w:t>Замедление темпов роста макроэкономических показателей по Ленинградской области обусловлено ожидаемым снижением внутреннего спроса. К концу 2026 году прогнозируется стабилизация экономической ситуации в области.</w:t>
      </w:r>
    </w:p>
    <w:p w:rsidR="004F0F0B" w:rsidRDefault="000535AB">
      <w:pPr>
        <w:shd w:val="clear" w:color="auto" w:fill="FFFFFF" w:themeFill="background1"/>
        <w:ind w:firstLine="720"/>
        <w:jc w:val="both"/>
        <w:rPr>
          <w:sz w:val="28"/>
          <w:szCs w:val="28"/>
          <w:highlight w:val="yellow"/>
        </w:rPr>
      </w:pPr>
      <w:r>
        <w:rPr>
          <w:sz w:val="28"/>
          <w:szCs w:val="28"/>
        </w:rPr>
        <w:t>Ожидаемые результаты социально-экономического развития Ленинградской области за текущий 2026 год приведены с учетом итогов января-мая 2026 года и основных параметров прогноза социально-экономического развития Российской Федерации на 2027 год и на плановый период 2028 и 2029 годов, представленных Министерством экономического развития Российской Федерации в мае 2026 года.</w:t>
      </w:r>
    </w:p>
    <w:p w:rsidR="004F0F0B" w:rsidRDefault="000535AB">
      <w:pPr>
        <w:shd w:val="clear" w:color="auto" w:fill="FFFFFF" w:themeFill="background1"/>
        <w:ind w:firstLine="709"/>
        <w:jc w:val="both"/>
        <w:rPr>
          <w:color w:val="000000" w:themeColor="text1"/>
          <w:sz w:val="28"/>
          <w:szCs w:val="28"/>
        </w:rPr>
      </w:pPr>
      <w:r>
        <w:rPr>
          <w:color w:val="000000" w:themeColor="text1"/>
          <w:sz w:val="28"/>
          <w:szCs w:val="28"/>
        </w:rPr>
        <w:t xml:space="preserve">В 2026 году </w:t>
      </w:r>
      <w:r>
        <w:rPr>
          <w:b/>
          <w:bCs/>
          <w:color w:val="000000" w:themeColor="text1"/>
          <w:sz w:val="28"/>
          <w:szCs w:val="28"/>
        </w:rPr>
        <w:t xml:space="preserve">ВРП </w:t>
      </w:r>
      <w:r>
        <w:rPr>
          <w:color w:val="000000" w:themeColor="text1"/>
          <w:sz w:val="28"/>
          <w:szCs w:val="28"/>
        </w:rPr>
        <w:t>Ленинградской области прогнозируется на уровне 2,7 трлн руб. Снижение реального ВРП области (99% к 2025 году) обусловлено спадом в промышленности, а также консервативными темпами роста инвестиционного и потребительского спроса на фоне сохраняющегося санкционного давления.</w:t>
      </w:r>
    </w:p>
    <w:p w:rsidR="004F0F0B" w:rsidRDefault="000535AB">
      <w:pPr>
        <w:shd w:val="clear" w:color="auto" w:fill="FFFFFF" w:themeFill="background1"/>
        <w:ind w:firstLine="709"/>
        <w:jc w:val="both"/>
        <w:rPr>
          <w:bCs/>
          <w:color w:val="000000" w:themeColor="text1"/>
          <w:sz w:val="28"/>
          <w:szCs w:val="28"/>
        </w:rPr>
      </w:pPr>
      <w:r>
        <w:rPr>
          <w:sz w:val="28"/>
          <w:szCs w:val="28"/>
          <w:highlight w:val="white"/>
        </w:rPr>
        <w:t xml:space="preserve">В 2026 году </w:t>
      </w:r>
      <w:r>
        <w:rPr>
          <w:b/>
          <w:bCs/>
          <w:color w:val="000000" w:themeColor="text1"/>
          <w:sz w:val="28"/>
          <w:szCs w:val="28"/>
        </w:rPr>
        <w:t>индекс промышленного производства</w:t>
      </w:r>
      <w:r>
        <w:rPr>
          <w:bCs/>
          <w:color w:val="000000" w:themeColor="text1"/>
          <w:sz w:val="28"/>
          <w:szCs w:val="28"/>
        </w:rPr>
        <w:t xml:space="preserve"> по полному кругу п</w:t>
      </w:r>
      <w:r>
        <w:rPr>
          <w:bCs/>
          <w:color w:val="000000" w:themeColor="text1"/>
          <w:sz w:val="28"/>
          <w:szCs w:val="28"/>
          <w:highlight w:val="white"/>
        </w:rPr>
        <w:t xml:space="preserve">ромышленных предприятий Ленинградской области оценивается на уровне 94,6% к 2025 году. </w:t>
      </w:r>
    </w:p>
    <w:p w:rsidR="004F0F0B" w:rsidRDefault="000535AB">
      <w:pPr>
        <w:shd w:val="clear" w:color="FFFFFF" w:themeColor="background1" w:fill="FFFFFF" w:themeFill="background1"/>
        <w:ind w:firstLine="709"/>
        <w:contextualSpacing/>
        <w:jc w:val="both"/>
        <w:rPr>
          <w:color w:val="000000" w:themeColor="text1"/>
          <w:sz w:val="28"/>
          <w:szCs w:val="28"/>
          <w:highlight w:val="white"/>
        </w:rPr>
      </w:pPr>
      <w:r>
        <w:rPr>
          <w:iCs/>
          <w:color w:val="000000" w:themeColor="text1"/>
          <w:sz w:val="28"/>
          <w:szCs w:val="28"/>
        </w:rPr>
        <w:t xml:space="preserve">В формировании сводного индекса промышленного производства ключевую роль </w:t>
      </w:r>
      <w:r>
        <w:rPr>
          <w:iCs/>
          <w:color w:val="000000" w:themeColor="text1"/>
          <w:sz w:val="28"/>
          <w:szCs w:val="28"/>
          <w:highlight w:val="white"/>
        </w:rPr>
        <w:t xml:space="preserve">играют восемь базовых отраслей. Рост в 4 отраслях лишь частично компенсирует спад в оставшихся четырех: </w:t>
      </w:r>
    </w:p>
    <w:p w:rsidR="004F0F0B" w:rsidRDefault="000535AB">
      <w:pPr>
        <w:pStyle w:val="af3"/>
        <w:numPr>
          <w:ilvl w:val="0"/>
          <w:numId w:val="7"/>
        </w:numPr>
        <w:shd w:val="clear" w:color="FFFFFF" w:themeColor="background1" w:fill="FFFFFF" w:themeFill="background1"/>
        <w:jc w:val="both"/>
        <w:rPr>
          <w:color w:val="000000" w:themeColor="text1"/>
          <w:sz w:val="28"/>
          <w:szCs w:val="28"/>
          <w:highlight w:val="white"/>
        </w:rPr>
      </w:pPr>
      <w:r>
        <w:rPr>
          <w:iCs/>
          <w:color w:val="000000" w:themeColor="text1"/>
          <w:sz w:val="28"/>
          <w:szCs w:val="28"/>
          <w:highlight w:val="white"/>
        </w:rPr>
        <w:t>производство резиновых и пластмассовых изделий – 105,0%,</w:t>
      </w:r>
    </w:p>
    <w:p w:rsidR="004F0F0B" w:rsidRDefault="000535AB">
      <w:pPr>
        <w:pStyle w:val="af3"/>
        <w:numPr>
          <w:ilvl w:val="0"/>
          <w:numId w:val="7"/>
        </w:numPr>
        <w:shd w:val="clear" w:color="FFFFFF" w:themeColor="background1" w:fill="FFFFFF" w:themeFill="background1"/>
        <w:jc w:val="both"/>
        <w:rPr>
          <w:color w:val="000000" w:themeColor="text1"/>
          <w:sz w:val="28"/>
          <w:szCs w:val="28"/>
          <w:highlight w:val="white"/>
        </w:rPr>
      </w:pPr>
      <w:r>
        <w:rPr>
          <w:iCs/>
          <w:color w:val="000000" w:themeColor="text1"/>
          <w:sz w:val="28"/>
          <w:szCs w:val="28"/>
          <w:highlight w:val="white"/>
        </w:rPr>
        <w:t>производство бумаги и бумажных изделий – 103,0%,</w:t>
      </w:r>
    </w:p>
    <w:p w:rsidR="004F0F0B" w:rsidRDefault="000535AB">
      <w:pPr>
        <w:pStyle w:val="af3"/>
        <w:numPr>
          <w:ilvl w:val="0"/>
          <w:numId w:val="7"/>
        </w:numPr>
        <w:shd w:val="clear" w:color="FFFFFF" w:themeColor="background1" w:fill="FFFFFF" w:themeFill="background1"/>
        <w:jc w:val="both"/>
        <w:rPr>
          <w:color w:val="000000" w:themeColor="text1"/>
          <w:sz w:val="28"/>
          <w:szCs w:val="28"/>
          <w:highlight w:val="white"/>
        </w:rPr>
      </w:pPr>
      <w:r>
        <w:rPr>
          <w:iCs/>
          <w:color w:val="000000" w:themeColor="text1"/>
          <w:sz w:val="28"/>
          <w:szCs w:val="28"/>
          <w:highlight w:val="white"/>
        </w:rPr>
        <w:t>производство пищевых продуктов – 100,3%,</w:t>
      </w:r>
    </w:p>
    <w:p w:rsidR="004F0F0B" w:rsidRDefault="000535AB">
      <w:pPr>
        <w:pStyle w:val="af3"/>
        <w:numPr>
          <w:ilvl w:val="0"/>
          <w:numId w:val="7"/>
        </w:numPr>
        <w:shd w:val="clear" w:color="FFFFFF" w:themeColor="background1" w:fill="FFFFFF" w:themeFill="background1"/>
        <w:jc w:val="both"/>
        <w:rPr>
          <w:highlight w:val="white"/>
        </w:rPr>
      </w:pPr>
      <w:r>
        <w:rPr>
          <w:iCs/>
          <w:color w:val="000000" w:themeColor="text1"/>
          <w:sz w:val="28"/>
          <w:szCs w:val="28"/>
          <w:highlight w:val="white"/>
        </w:rPr>
        <w:t>производство химических веществ и химических продуктов – 100,3%,</w:t>
      </w:r>
    </w:p>
    <w:p w:rsidR="004F0F0B" w:rsidRDefault="000535AB">
      <w:pPr>
        <w:pStyle w:val="af3"/>
        <w:numPr>
          <w:ilvl w:val="0"/>
          <w:numId w:val="7"/>
        </w:numPr>
        <w:shd w:val="clear" w:color="FFFFFF" w:themeColor="background1" w:fill="FFFFFF" w:themeFill="background1"/>
        <w:jc w:val="both"/>
        <w:rPr>
          <w:highlight w:val="white"/>
        </w:rPr>
      </w:pPr>
      <w:r>
        <w:rPr>
          <w:iCs/>
          <w:color w:val="000000" w:themeColor="text1"/>
          <w:sz w:val="28"/>
          <w:szCs w:val="28"/>
          <w:highlight w:val="white"/>
        </w:rPr>
        <w:t>производство табачных изделий – 99%,</w:t>
      </w:r>
    </w:p>
    <w:p w:rsidR="004F0F0B" w:rsidRDefault="000535AB">
      <w:pPr>
        <w:pStyle w:val="af3"/>
        <w:numPr>
          <w:ilvl w:val="0"/>
          <w:numId w:val="7"/>
        </w:numPr>
        <w:shd w:val="clear" w:color="FFFFFF" w:themeColor="background1" w:fill="FFFFFF" w:themeFill="background1"/>
        <w:jc w:val="both"/>
        <w:rPr>
          <w:highlight w:val="white"/>
        </w:rPr>
      </w:pPr>
      <w:r>
        <w:rPr>
          <w:iCs/>
          <w:color w:val="000000" w:themeColor="text1"/>
          <w:sz w:val="28"/>
          <w:szCs w:val="28"/>
          <w:highlight w:val="white"/>
        </w:rPr>
        <w:t>производство прочей неметаллической минеральной продукции – 91,2%,</w:t>
      </w:r>
    </w:p>
    <w:p w:rsidR="004F0F0B" w:rsidRDefault="000535AB">
      <w:pPr>
        <w:pStyle w:val="af3"/>
        <w:numPr>
          <w:ilvl w:val="0"/>
          <w:numId w:val="7"/>
        </w:numPr>
        <w:shd w:val="clear" w:color="FFFFFF" w:themeColor="background1" w:fill="FFFFFF" w:themeFill="background1"/>
        <w:jc w:val="both"/>
        <w:rPr>
          <w:highlight w:val="white"/>
        </w:rPr>
      </w:pPr>
      <w:r>
        <w:rPr>
          <w:iCs/>
          <w:color w:val="000000" w:themeColor="text1"/>
          <w:sz w:val="28"/>
          <w:szCs w:val="28"/>
          <w:highlight w:val="white"/>
        </w:rPr>
        <w:t>производство кокса и нефтепродуктов – 85,0%,</w:t>
      </w:r>
    </w:p>
    <w:p w:rsidR="004F0F0B" w:rsidRDefault="000535AB">
      <w:pPr>
        <w:pStyle w:val="af3"/>
        <w:numPr>
          <w:ilvl w:val="0"/>
          <w:numId w:val="7"/>
        </w:numPr>
        <w:shd w:val="clear" w:color="FFFFFF" w:themeColor="background1" w:fill="FFFFFF" w:themeFill="background1"/>
        <w:jc w:val="both"/>
        <w:rPr>
          <w:color w:val="000000" w:themeColor="text1"/>
          <w:sz w:val="28"/>
          <w:szCs w:val="28"/>
          <w:highlight w:val="white"/>
        </w:rPr>
      </w:pPr>
      <w:r>
        <w:rPr>
          <w:iCs/>
          <w:color w:val="000000" w:themeColor="text1"/>
          <w:sz w:val="28"/>
          <w:szCs w:val="28"/>
          <w:highlight w:val="white"/>
        </w:rPr>
        <w:t xml:space="preserve">производство прочих транспортных средств и оборудования – 60,0%. </w:t>
      </w:r>
    </w:p>
    <w:p w:rsidR="004F0F0B" w:rsidRDefault="000535AB">
      <w:pPr>
        <w:shd w:val="clear" w:color="FFFFFF" w:themeColor="background1" w:fill="FFFFFF" w:themeFill="background1"/>
        <w:ind w:firstLine="709"/>
        <w:contextualSpacing/>
        <w:jc w:val="both"/>
      </w:pPr>
      <w:r>
        <w:rPr>
          <w:iCs/>
          <w:color w:val="000000" w:themeColor="text1"/>
          <w:sz w:val="28"/>
          <w:szCs w:val="28"/>
          <w:highlight w:val="white"/>
        </w:rPr>
        <w:t>Драйверами минимального роста выступят производство резины и пластмассы (+5%) и целлюлозно-бумажная промышленность (+3%). Однако этот рост нивелируется глубоким кризисом в транспортном машиностроении (-40%) и существенным падением выпуска в нефтеперер</w:t>
      </w:r>
      <w:r>
        <w:rPr>
          <w:iCs/>
          <w:color w:val="000000" w:themeColor="text1"/>
          <w:sz w:val="28"/>
          <w:szCs w:val="28"/>
        </w:rPr>
        <w:t>аботке (-15%). В пределах прошлогодних значений прогнозируется динамика в производстве пищевых продуктов – рост на 0,3% и в производстве химических веществ и химических продуктов – рост на 0,3%.</w:t>
      </w:r>
    </w:p>
    <w:p w:rsidR="004F0F0B" w:rsidRDefault="000535AB">
      <w:pPr>
        <w:shd w:val="clear" w:color="FFFFFF" w:themeColor="background1" w:fill="FFFFFF" w:themeFill="background1"/>
        <w:ind w:firstLine="709"/>
        <w:contextualSpacing/>
        <w:jc w:val="both"/>
      </w:pPr>
      <w:r>
        <w:rPr>
          <w:iCs/>
          <w:color w:val="000000" w:themeColor="text1"/>
          <w:sz w:val="28"/>
          <w:szCs w:val="28"/>
        </w:rPr>
        <w:t>Помимо ключевых секторов, снижение индекса промышленного производства прогнозируется еще в восьми отраслях с небольшой удельной долей.</w:t>
      </w:r>
    </w:p>
    <w:p w:rsidR="004F0F0B" w:rsidRDefault="000535AB">
      <w:pPr>
        <w:shd w:val="clear" w:color="FFFFFF" w:themeColor="background1" w:fill="FFFFFF" w:themeFill="background1"/>
        <w:ind w:firstLine="709"/>
        <w:contextualSpacing/>
        <w:jc w:val="both"/>
      </w:pPr>
      <w:r>
        <w:rPr>
          <w:iCs/>
          <w:color w:val="000000" w:themeColor="text1"/>
          <w:sz w:val="28"/>
          <w:szCs w:val="28"/>
        </w:rPr>
        <w:t xml:space="preserve">Наибольшее падение ожидается в полиграфии (-40%) и производстве компьютеров, электронных и оптических изделий (-20%). Умеренный спад прогнозируется в обработке древесины (-14%), металлургии (-10%) и производстве электрического оборудования (-9%). Основной причиной сокращения выпуска стало уменьшение производства конкретных товарных позиций крупными игроками. На этом фоне выделяются два сегмента-лидера: ремонт и монтаж оборудования (+30%) </w:t>
      </w:r>
      <w:r>
        <w:rPr>
          <w:iCs/>
          <w:color w:val="000000" w:themeColor="text1"/>
          <w:sz w:val="28"/>
          <w:szCs w:val="28"/>
        </w:rPr>
        <w:lastRenderedPageBreak/>
        <w:t>и выпуск прочих готовых изделий (+10%), чей рост поддерживается стабильно высоким спросом.</w:t>
      </w:r>
    </w:p>
    <w:p w:rsidR="004F0F0B" w:rsidRDefault="000535AB">
      <w:pPr>
        <w:shd w:val="clear" w:color="FFFFFF" w:themeColor="background1" w:fill="FFFFFF" w:themeFill="background1"/>
        <w:ind w:firstLine="709"/>
        <w:jc w:val="both"/>
        <w:rPr>
          <w:color w:val="000000" w:themeColor="text1"/>
          <w:sz w:val="28"/>
          <w:szCs w:val="28"/>
        </w:rPr>
      </w:pPr>
      <w:r>
        <w:rPr>
          <w:color w:val="000000" w:themeColor="text1"/>
          <w:sz w:val="28"/>
          <w:szCs w:val="28"/>
        </w:rPr>
        <w:t>По оценке в 2026 году</w:t>
      </w:r>
      <w:r>
        <w:rPr>
          <w:b/>
          <w:color w:val="000000" w:themeColor="text1"/>
          <w:sz w:val="28"/>
          <w:szCs w:val="28"/>
        </w:rPr>
        <w:t xml:space="preserve"> </w:t>
      </w:r>
      <w:r>
        <w:rPr>
          <w:color w:val="000000" w:themeColor="text1"/>
          <w:sz w:val="28"/>
          <w:szCs w:val="28"/>
        </w:rPr>
        <w:t xml:space="preserve">ожидается, </w:t>
      </w:r>
      <w:r>
        <w:rPr>
          <w:sz w:val="28"/>
          <w:szCs w:val="28"/>
        </w:rPr>
        <w:t xml:space="preserve">что </w:t>
      </w:r>
      <w:r>
        <w:rPr>
          <w:b/>
          <w:bCs/>
          <w:sz w:val="28"/>
          <w:szCs w:val="28"/>
        </w:rPr>
        <w:t xml:space="preserve">объем добычи нерудных строительных материалов </w:t>
      </w:r>
      <w:r>
        <w:rPr>
          <w:sz w:val="28"/>
          <w:szCs w:val="28"/>
        </w:rPr>
        <w:t xml:space="preserve">сохранит объемы прошлого года в связи с незначительным ростом количества новых строящихся объектов и сокращения поставок в другие регионы страны. </w:t>
      </w:r>
      <w:r>
        <w:rPr>
          <w:color w:val="000000" w:themeColor="text1"/>
          <w:sz w:val="28"/>
          <w:szCs w:val="28"/>
        </w:rPr>
        <w:t>Индекс промышленного производства по добыче прочих полезных ископаемых составит 100,6%.</w:t>
      </w:r>
    </w:p>
    <w:p w:rsidR="004F0F0B" w:rsidRDefault="000535AB">
      <w:pPr>
        <w:shd w:val="clear" w:color="FFFFFF" w:themeColor="background1" w:fill="FFFFFF" w:themeFill="background1"/>
        <w:ind w:firstLine="709"/>
        <w:contextualSpacing/>
        <w:jc w:val="both"/>
      </w:pPr>
      <w:r>
        <w:rPr>
          <w:iCs/>
          <w:color w:val="000000" w:themeColor="text1"/>
          <w:sz w:val="28"/>
          <w:szCs w:val="28"/>
        </w:rPr>
        <w:t xml:space="preserve">В Ленинградской области продолжается реализация мер поддержки промышленных предприятий в сложившихся экономических условиях: </w:t>
      </w:r>
    </w:p>
    <w:p w:rsidR="004F0F0B" w:rsidRDefault="000535AB">
      <w:pPr>
        <w:shd w:val="clear" w:color="FFFFFF" w:themeColor="background1" w:fill="FFFFFF" w:themeFill="background1"/>
        <w:ind w:firstLine="709"/>
        <w:contextualSpacing/>
        <w:jc w:val="both"/>
      </w:pPr>
      <w:r>
        <w:rPr>
          <w:iCs/>
          <w:color w:val="000000" w:themeColor="text1"/>
          <w:sz w:val="28"/>
          <w:szCs w:val="28"/>
        </w:rPr>
        <w:t xml:space="preserve">1. Льготное заемное финансирование - предоставляется на проекты, направленные на импортозамещение и производство конкурентоспособной продукции. </w:t>
      </w:r>
    </w:p>
    <w:p w:rsidR="004F0F0B" w:rsidRDefault="000535AB">
      <w:pPr>
        <w:shd w:val="clear" w:color="FFFFFF" w:themeColor="background1" w:fill="FFFFFF" w:themeFill="background1"/>
        <w:ind w:firstLine="709"/>
        <w:contextualSpacing/>
        <w:jc w:val="both"/>
      </w:pPr>
      <w:r>
        <w:rPr>
          <w:iCs/>
          <w:color w:val="000000" w:themeColor="text1"/>
          <w:sz w:val="28"/>
          <w:szCs w:val="28"/>
        </w:rPr>
        <w:t>2. Субсидии - выделяются из областного бюджета для реализации региональных программ развития промышленности.</w:t>
      </w:r>
    </w:p>
    <w:p w:rsidR="004F0F0B" w:rsidRDefault="000535AB">
      <w:pPr>
        <w:shd w:val="clear" w:color="FFFFFF" w:themeColor="background1" w:fill="FFFFFF" w:themeFill="background1"/>
        <w:ind w:firstLine="709"/>
        <w:contextualSpacing/>
        <w:jc w:val="both"/>
      </w:pPr>
      <w:r>
        <w:rPr>
          <w:iCs/>
          <w:color w:val="000000" w:themeColor="text1"/>
          <w:sz w:val="28"/>
          <w:szCs w:val="28"/>
        </w:rPr>
        <w:t>3. Инвестиционный налоговый вычет - инструмент снижения налоговой нагрузки по налогу на прибыль организаций, представляет собой принцип ускоренной амортизации, когда на стоимость приобретения оборудования можно уменьшить не налоговую базу по налогу на прибыль, а сам исчисленный налог.</w:t>
      </w:r>
    </w:p>
    <w:p w:rsidR="004F0F0B" w:rsidRDefault="000535AB" w:rsidP="000535AB">
      <w:pPr>
        <w:shd w:val="clear" w:color="auto" w:fill="FFFFFF" w:themeFill="background1"/>
        <w:ind w:firstLine="709"/>
        <w:jc w:val="both"/>
        <w:rPr>
          <w:color w:val="000000" w:themeColor="text1"/>
          <w:sz w:val="28"/>
          <w:szCs w:val="28"/>
        </w:rPr>
      </w:pPr>
      <w:r>
        <w:rPr>
          <w:sz w:val="28"/>
          <w:szCs w:val="28"/>
        </w:rPr>
        <w:t xml:space="preserve">В 2026 году по оценке </w:t>
      </w:r>
      <w:r>
        <w:rPr>
          <w:b/>
          <w:sz w:val="28"/>
          <w:szCs w:val="28"/>
        </w:rPr>
        <w:t>объем производства продукции сельского хозяйства</w:t>
      </w:r>
      <w:r>
        <w:rPr>
          <w:sz w:val="28"/>
          <w:szCs w:val="28"/>
        </w:rPr>
        <w:t xml:space="preserve"> составит </w:t>
      </w:r>
      <w:r>
        <w:rPr>
          <w:color w:val="000000" w:themeColor="text1"/>
          <w:sz w:val="28"/>
          <w:szCs w:val="28"/>
        </w:rPr>
        <w:t>176,6 млрд руб., индекс производства – 100,0% к 2025 году. Прогнозируемый объем продукции растениеводства составит порядка 56,2 млрд руб., продукции животноводства – 120,5 млрд руб. Принятый консервативный подход к прогнозированию развития отрасли в 2026 году обусловлен отрицательной динамикой предшествующего периода, когда по итогам 2025 года индекс производства составил 98,2%.</w:t>
      </w:r>
    </w:p>
    <w:p w:rsidR="004F0F0B" w:rsidRPr="000535AB" w:rsidRDefault="000535AB" w:rsidP="000535AB">
      <w:pPr>
        <w:shd w:val="clear" w:color="FFFFFF" w:themeColor="background1" w:fill="FFFFFF" w:themeFill="background1"/>
        <w:ind w:firstLine="709"/>
        <w:contextualSpacing/>
        <w:jc w:val="both"/>
        <w:rPr>
          <w:iCs/>
          <w:color w:val="000000" w:themeColor="text1"/>
          <w:sz w:val="28"/>
          <w:szCs w:val="28"/>
        </w:rPr>
      </w:pPr>
      <w:r w:rsidRPr="000535AB">
        <w:rPr>
          <w:iCs/>
          <w:color w:val="000000" w:themeColor="text1"/>
          <w:sz w:val="28"/>
          <w:szCs w:val="28"/>
        </w:rPr>
        <w:t xml:space="preserve">Объем работ, выполненных по виду деятельности </w:t>
      </w:r>
      <w:r w:rsidRPr="000535AB">
        <w:rPr>
          <w:b/>
          <w:iCs/>
          <w:color w:val="000000" w:themeColor="text1"/>
          <w:sz w:val="28"/>
          <w:szCs w:val="28"/>
        </w:rPr>
        <w:t>«строительство»</w:t>
      </w:r>
      <w:r w:rsidRPr="000535AB">
        <w:rPr>
          <w:iCs/>
          <w:color w:val="000000" w:themeColor="text1"/>
          <w:sz w:val="28"/>
          <w:szCs w:val="28"/>
        </w:rPr>
        <w:t xml:space="preserve">, </w:t>
      </w:r>
      <w:r w:rsidRPr="000535AB">
        <w:rPr>
          <w:iCs/>
          <w:color w:val="000000" w:themeColor="text1"/>
          <w:sz w:val="28"/>
          <w:szCs w:val="28"/>
        </w:rPr>
        <w:br/>
        <w:t>по оценке 2026 года составит порядка 666,8 млрд руб. или 92,1% к 2025 году в сопоставимых ценах. Прогнозируемое снижение объемов вызвано общей экономической ситуацией, ростом ставок по ипотеке, а также завершением крупных строительных проектов в регионе.</w:t>
      </w:r>
    </w:p>
    <w:p w:rsidR="004F0F0B" w:rsidRPr="000535AB" w:rsidRDefault="000535AB" w:rsidP="000535AB">
      <w:pPr>
        <w:shd w:val="clear" w:color="FFFFFF" w:themeColor="background1" w:fill="FFFFFF" w:themeFill="background1"/>
        <w:ind w:firstLine="709"/>
        <w:contextualSpacing/>
        <w:jc w:val="both"/>
        <w:rPr>
          <w:iCs/>
          <w:color w:val="000000" w:themeColor="text1"/>
          <w:sz w:val="28"/>
          <w:szCs w:val="28"/>
        </w:rPr>
      </w:pPr>
      <w:r w:rsidRPr="000535AB">
        <w:rPr>
          <w:iCs/>
          <w:color w:val="000000" w:themeColor="text1"/>
          <w:sz w:val="28"/>
          <w:szCs w:val="28"/>
        </w:rPr>
        <w:t xml:space="preserve">В 2026 году плановый показатель объема </w:t>
      </w:r>
      <w:r w:rsidRPr="000535AB">
        <w:rPr>
          <w:b/>
          <w:i/>
          <w:iCs/>
          <w:color w:val="000000" w:themeColor="text1"/>
          <w:sz w:val="28"/>
          <w:szCs w:val="28"/>
        </w:rPr>
        <w:t>ввода жилья</w:t>
      </w:r>
      <w:r w:rsidRPr="000535AB">
        <w:rPr>
          <w:iCs/>
          <w:color w:val="000000" w:themeColor="text1"/>
          <w:sz w:val="28"/>
          <w:szCs w:val="28"/>
        </w:rPr>
        <w:t xml:space="preserve"> на территории Ленинградской области составляет 3 550 тыс. кв. м. По состоянию на 1 июня 2026 года на территории Ленинградской области введено в эксплуатацию 1726,9 тыс. кв. м жилой площади, в том числе ИЖС – 1 510,3 тыс. кв. м; выполнение плана на 2026 год составляет 48,6%.</w:t>
      </w:r>
    </w:p>
    <w:p w:rsidR="004F0F0B" w:rsidRPr="000535AB" w:rsidRDefault="000535AB" w:rsidP="000535AB">
      <w:pPr>
        <w:shd w:val="clear" w:color="FFFFFF" w:themeColor="background1" w:fill="FFFFFF" w:themeFill="background1"/>
        <w:ind w:firstLine="709"/>
        <w:contextualSpacing/>
        <w:jc w:val="both"/>
        <w:rPr>
          <w:iCs/>
          <w:color w:val="000000" w:themeColor="text1"/>
          <w:sz w:val="28"/>
          <w:szCs w:val="28"/>
        </w:rPr>
      </w:pPr>
      <w:r w:rsidRPr="000535AB">
        <w:rPr>
          <w:iCs/>
          <w:color w:val="000000" w:themeColor="text1"/>
          <w:sz w:val="28"/>
          <w:szCs w:val="28"/>
        </w:rPr>
        <w:t xml:space="preserve">В 2026 году приобретаются квартиры на вторичном рынке жилья и готовое жилье у застройщиков в домах, введенных в эксплуатацию, для расселения 13,98 тыс. кв. м аварийного жилищного фонда, в котором проживают 911 человек.  </w:t>
      </w:r>
    </w:p>
    <w:p w:rsidR="000535AB" w:rsidRDefault="000535AB" w:rsidP="000535AB">
      <w:pPr>
        <w:pBdr>
          <w:top w:val="single" w:sz="4" w:space="0" w:color="FFFFFF"/>
          <w:left w:val="single" w:sz="4" w:space="0" w:color="FFFFFF"/>
          <w:bottom w:val="single" w:sz="4" w:space="30" w:color="FFFFFF"/>
          <w:right w:val="single" w:sz="4" w:space="8" w:color="FFFFFF"/>
        </w:pBdr>
        <w:shd w:val="clear" w:color="auto" w:fill="FFFFFF" w:themeFill="background1"/>
        <w:tabs>
          <w:tab w:val="left" w:pos="567"/>
        </w:tabs>
        <w:ind w:firstLine="709"/>
        <w:jc w:val="both"/>
        <w:rPr>
          <w:sz w:val="28"/>
          <w:szCs w:val="28"/>
        </w:rPr>
      </w:pPr>
      <w:r>
        <w:rPr>
          <w:sz w:val="28"/>
          <w:szCs w:val="28"/>
        </w:rPr>
        <w:t xml:space="preserve">Согласно оценке 2026 года </w:t>
      </w:r>
      <w:r>
        <w:rPr>
          <w:b/>
          <w:sz w:val="28"/>
          <w:szCs w:val="28"/>
        </w:rPr>
        <w:t>объем инвестиций</w:t>
      </w:r>
      <w:r>
        <w:rPr>
          <w:sz w:val="28"/>
          <w:szCs w:val="28"/>
        </w:rPr>
        <w:t xml:space="preserve"> </w:t>
      </w:r>
      <w:r>
        <w:rPr>
          <w:b/>
          <w:bCs/>
          <w:sz w:val="28"/>
          <w:szCs w:val="28"/>
        </w:rPr>
        <w:t>в основной капитал</w:t>
      </w:r>
      <w:r>
        <w:rPr>
          <w:sz w:val="28"/>
          <w:szCs w:val="28"/>
        </w:rPr>
        <w:t xml:space="preserve"> в Ленинградской области составит </w:t>
      </w:r>
      <w:r>
        <w:rPr>
          <w:sz w:val="28"/>
          <w:szCs w:val="28"/>
          <w:highlight w:val="white"/>
        </w:rPr>
        <w:t>1 705,1</w:t>
      </w:r>
      <w:r>
        <w:rPr>
          <w:color w:val="000000" w:themeColor="text1"/>
          <w:sz w:val="28"/>
          <w:szCs w:val="28"/>
        </w:rPr>
        <w:t xml:space="preserve"> млрд руб. </w:t>
      </w:r>
      <w:r>
        <w:rPr>
          <w:sz w:val="28"/>
          <w:szCs w:val="28"/>
          <w:highlight w:val="white"/>
        </w:rPr>
        <w:t>или 100,5% к уровню 2025 года.</w:t>
      </w:r>
    </w:p>
    <w:p w:rsidR="000535AB" w:rsidRDefault="000535AB" w:rsidP="000535AB">
      <w:pPr>
        <w:pBdr>
          <w:top w:val="single" w:sz="4" w:space="0" w:color="FFFFFF"/>
          <w:left w:val="single" w:sz="4" w:space="0" w:color="FFFFFF"/>
          <w:bottom w:val="single" w:sz="4" w:space="30" w:color="FFFFFF"/>
          <w:right w:val="single" w:sz="4" w:space="8" w:color="FFFFFF"/>
        </w:pBdr>
        <w:shd w:val="clear" w:color="auto" w:fill="FFFFFF" w:themeFill="background1"/>
        <w:tabs>
          <w:tab w:val="left" w:pos="567"/>
        </w:tabs>
        <w:ind w:firstLine="709"/>
        <w:jc w:val="both"/>
        <w:rPr>
          <w:color w:val="000000" w:themeColor="text1"/>
          <w:sz w:val="28"/>
        </w:rPr>
      </w:pPr>
      <w:r>
        <w:rPr>
          <w:color w:val="000000" w:themeColor="text1"/>
          <w:sz w:val="28"/>
        </w:rPr>
        <w:t>Распределение объема инвестиций в основной капитал в 2026 году по видам экономической деятельности оценивается следующим образом:</w:t>
      </w:r>
    </w:p>
    <w:p w:rsidR="000535AB" w:rsidRDefault="000535AB" w:rsidP="000535AB">
      <w:pPr>
        <w:pBdr>
          <w:top w:val="single" w:sz="4" w:space="0" w:color="FFFFFF"/>
          <w:left w:val="single" w:sz="4" w:space="0" w:color="FFFFFF"/>
          <w:bottom w:val="single" w:sz="4" w:space="30" w:color="FFFFFF"/>
          <w:right w:val="single" w:sz="4" w:space="8" w:color="FFFFFF"/>
        </w:pBdr>
        <w:shd w:val="clear" w:color="auto" w:fill="FFFFFF" w:themeFill="background1"/>
        <w:tabs>
          <w:tab w:val="left" w:pos="567"/>
        </w:tabs>
        <w:ind w:firstLine="709"/>
        <w:jc w:val="both"/>
        <w:rPr>
          <w:color w:val="000000" w:themeColor="text1"/>
          <w:sz w:val="28"/>
        </w:rPr>
      </w:pPr>
      <w:r>
        <w:rPr>
          <w:color w:val="000000" w:themeColor="text1"/>
          <w:sz w:val="28"/>
        </w:rPr>
        <w:t xml:space="preserve">– обрабатывающая промышленность – 1 205,5 млрд руб. (или 70,7% от общего объема инвестиций в основной капитал); </w:t>
      </w:r>
    </w:p>
    <w:p w:rsidR="000535AB" w:rsidRDefault="000535AB" w:rsidP="000535AB">
      <w:pPr>
        <w:pBdr>
          <w:top w:val="single" w:sz="4" w:space="0" w:color="FFFFFF"/>
          <w:left w:val="single" w:sz="4" w:space="0" w:color="FFFFFF"/>
          <w:bottom w:val="single" w:sz="4" w:space="30" w:color="FFFFFF"/>
          <w:right w:val="single" w:sz="4" w:space="8" w:color="FFFFFF"/>
        </w:pBdr>
        <w:shd w:val="clear" w:color="auto" w:fill="FFFFFF" w:themeFill="background1"/>
        <w:tabs>
          <w:tab w:val="left" w:pos="567"/>
        </w:tabs>
        <w:ind w:firstLine="709"/>
        <w:jc w:val="both"/>
        <w:rPr>
          <w:color w:val="000000" w:themeColor="text1"/>
          <w:sz w:val="28"/>
        </w:rPr>
      </w:pPr>
      <w:r>
        <w:rPr>
          <w:color w:val="000000" w:themeColor="text1"/>
          <w:sz w:val="28"/>
        </w:rPr>
        <w:t>– транспортировка и хранение – 90,3 млрд руб. (5,3%);</w:t>
      </w:r>
    </w:p>
    <w:p w:rsidR="000535AB" w:rsidRDefault="000535AB" w:rsidP="000535AB">
      <w:pPr>
        <w:pBdr>
          <w:top w:val="single" w:sz="4" w:space="0" w:color="FFFFFF"/>
          <w:left w:val="single" w:sz="4" w:space="0" w:color="FFFFFF"/>
          <w:bottom w:val="single" w:sz="4" w:space="30" w:color="FFFFFF"/>
          <w:right w:val="single" w:sz="4" w:space="8" w:color="FFFFFF"/>
        </w:pBdr>
        <w:shd w:val="clear" w:color="auto" w:fill="FFFFFF" w:themeFill="background1"/>
        <w:tabs>
          <w:tab w:val="left" w:pos="567"/>
        </w:tabs>
        <w:ind w:firstLine="709"/>
        <w:jc w:val="both"/>
        <w:rPr>
          <w:color w:val="000000" w:themeColor="text1"/>
          <w:sz w:val="28"/>
        </w:rPr>
      </w:pPr>
      <w:r>
        <w:rPr>
          <w:color w:val="000000" w:themeColor="text1"/>
          <w:sz w:val="28"/>
        </w:rPr>
        <w:t>– обеспечение электроэнергией, газом и паром – 76,7 млрд руб. (4,5%);</w:t>
      </w:r>
    </w:p>
    <w:p w:rsidR="000535AB" w:rsidRDefault="000535AB" w:rsidP="000535AB">
      <w:pPr>
        <w:pBdr>
          <w:top w:val="single" w:sz="4" w:space="0" w:color="FFFFFF"/>
          <w:left w:val="single" w:sz="4" w:space="0" w:color="FFFFFF"/>
          <w:bottom w:val="single" w:sz="4" w:space="30" w:color="FFFFFF"/>
          <w:right w:val="single" w:sz="4" w:space="8" w:color="FFFFFF"/>
        </w:pBdr>
        <w:shd w:val="clear" w:color="auto" w:fill="FFFFFF" w:themeFill="background1"/>
        <w:tabs>
          <w:tab w:val="left" w:pos="567"/>
        </w:tabs>
        <w:ind w:firstLine="709"/>
        <w:jc w:val="both"/>
        <w:rPr>
          <w:color w:val="000000" w:themeColor="text1"/>
          <w:sz w:val="28"/>
        </w:rPr>
      </w:pPr>
      <w:r>
        <w:rPr>
          <w:color w:val="000000" w:themeColor="text1"/>
          <w:sz w:val="28"/>
        </w:rPr>
        <w:lastRenderedPageBreak/>
        <w:t>– строительство – 56,3 млрд руб. (3,3%);</w:t>
      </w:r>
    </w:p>
    <w:p w:rsidR="004F0F0B" w:rsidRPr="000535AB" w:rsidRDefault="000535AB" w:rsidP="000535AB">
      <w:pPr>
        <w:pBdr>
          <w:top w:val="single" w:sz="4" w:space="0" w:color="FFFFFF"/>
          <w:left w:val="single" w:sz="4" w:space="0" w:color="FFFFFF"/>
          <w:bottom w:val="single" w:sz="4" w:space="30" w:color="FFFFFF"/>
          <w:right w:val="single" w:sz="4" w:space="8" w:color="FFFFFF"/>
        </w:pBdr>
        <w:shd w:val="clear" w:color="auto" w:fill="FFFFFF" w:themeFill="background1"/>
        <w:tabs>
          <w:tab w:val="left" w:pos="567"/>
        </w:tabs>
        <w:ind w:firstLine="709"/>
        <w:jc w:val="both"/>
        <w:rPr>
          <w:color w:val="000000" w:themeColor="text1"/>
          <w:sz w:val="28"/>
        </w:rPr>
      </w:pPr>
      <w:r>
        <w:rPr>
          <w:color w:val="000000" w:themeColor="text1"/>
          <w:sz w:val="28"/>
        </w:rPr>
        <w:t>– операции с недвижимым имуществом, аренда и предоставление услуг – 29,2 млрд руб. (4,7%);</w:t>
      </w:r>
    </w:p>
    <w:p w:rsidR="004F0F0B" w:rsidRPr="000535AB" w:rsidRDefault="000535AB" w:rsidP="000535AB">
      <w:pPr>
        <w:pBdr>
          <w:top w:val="single" w:sz="4" w:space="0" w:color="FFFFFF"/>
          <w:left w:val="single" w:sz="4" w:space="0" w:color="FFFFFF"/>
          <w:bottom w:val="single" w:sz="4" w:space="30" w:color="FFFFFF"/>
          <w:right w:val="single" w:sz="4" w:space="8" w:color="FFFFFF"/>
        </w:pBdr>
        <w:shd w:val="clear" w:color="auto" w:fill="FFFFFF" w:themeFill="background1"/>
        <w:tabs>
          <w:tab w:val="left" w:pos="567"/>
        </w:tabs>
        <w:ind w:firstLine="709"/>
        <w:jc w:val="both"/>
        <w:rPr>
          <w:color w:val="000000" w:themeColor="text1"/>
          <w:sz w:val="28"/>
        </w:rPr>
      </w:pPr>
      <w:r>
        <w:rPr>
          <w:color w:val="000000" w:themeColor="text1"/>
          <w:sz w:val="28"/>
        </w:rPr>
        <w:t>– сельское хозяйство, охота и лесное хозяйство – 25,6 млрд руб. (1,5%).</w:t>
      </w:r>
    </w:p>
    <w:p w:rsidR="000535AB" w:rsidRDefault="000535AB" w:rsidP="000535AB">
      <w:pPr>
        <w:pBdr>
          <w:top w:val="single" w:sz="4" w:space="0" w:color="FFFFFF"/>
          <w:left w:val="single" w:sz="4" w:space="0" w:color="FFFFFF"/>
          <w:bottom w:val="single" w:sz="4" w:space="30" w:color="FFFFFF"/>
          <w:right w:val="single" w:sz="4" w:space="8" w:color="FFFFFF"/>
        </w:pBdr>
        <w:shd w:val="clear" w:color="auto" w:fill="FFFFFF" w:themeFill="background1"/>
        <w:tabs>
          <w:tab w:val="left" w:pos="567"/>
        </w:tabs>
        <w:ind w:firstLine="709"/>
        <w:jc w:val="both"/>
        <w:rPr>
          <w:color w:val="000000" w:themeColor="text1"/>
          <w:sz w:val="28"/>
        </w:rPr>
      </w:pPr>
      <w:r>
        <w:rPr>
          <w:color w:val="000000" w:themeColor="text1"/>
          <w:sz w:val="28"/>
        </w:rPr>
        <w:t xml:space="preserve"> В среднесрочной перспективе продолжится реализация крупных инвестиционных проектов в сфере газохимии - строительство ООО «РусХимАльянс» и ООО «Балтийский Химический Комплекс» комплекса по переработке этансодержащего газа суммарной стоимостью более 5,1 трлн руб., реализация крупных портовых проектов ООО «Ультрамар» (строительство специализированного терминала по перевалке минеральных удобрений, более 109 млрд руб.), ГК «Новотранс» (строительство универсального торгового терминала «Усть-Луга», более 84 млрд руб.), ООО «ЕвроХим терминал Усть-Луга» (строительство терминала по перевалке минеральных удобрений в морском торговом порту Усть-Луга, около 57 млрд руб.), в том числе переход в эксплуатационную стадию проекта ООО «ЕвроХим Северо-Запад-2» после успешного запуска в 2026 году (производство аммиака, метанола и карбамида, более 161 млрд руб.), строительство второй очереди Ленинградской АЭС-2 (энергоблоки 3-4) суммарным объемом инвестиций более 676 млрд руб. </w:t>
      </w:r>
    </w:p>
    <w:p w:rsidR="000535AB" w:rsidRDefault="000535AB" w:rsidP="000535AB">
      <w:pPr>
        <w:pBdr>
          <w:top w:val="single" w:sz="4" w:space="0" w:color="FFFFFF"/>
          <w:left w:val="single" w:sz="4" w:space="0" w:color="FFFFFF"/>
          <w:bottom w:val="single" w:sz="4" w:space="30" w:color="FFFFFF"/>
          <w:right w:val="single" w:sz="4" w:space="8" w:color="FFFFFF"/>
        </w:pBdr>
        <w:shd w:val="clear" w:color="auto" w:fill="FFFFFF" w:themeFill="background1"/>
        <w:tabs>
          <w:tab w:val="left" w:pos="567"/>
        </w:tabs>
        <w:ind w:firstLine="709"/>
        <w:jc w:val="both"/>
        <w:rPr>
          <w:color w:val="000000" w:themeColor="text1"/>
          <w:sz w:val="28"/>
          <w:szCs w:val="28"/>
        </w:rPr>
      </w:pPr>
      <w:r>
        <w:rPr>
          <w:sz w:val="28"/>
          <w:szCs w:val="28"/>
        </w:rPr>
        <w:t xml:space="preserve">В </w:t>
      </w:r>
      <w:r>
        <w:rPr>
          <w:b/>
          <w:sz w:val="28"/>
          <w:szCs w:val="28"/>
        </w:rPr>
        <w:t xml:space="preserve">сфере развития </w:t>
      </w:r>
      <w:r>
        <w:rPr>
          <w:b/>
          <w:bCs/>
          <w:sz w:val="28"/>
          <w:szCs w:val="28"/>
        </w:rPr>
        <w:t>МСП</w:t>
      </w:r>
      <w:r>
        <w:rPr>
          <w:sz w:val="28"/>
          <w:szCs w:val="28"/>
        </w:rPr>
        <w:t xml:space="preserve"> </w:t>
      </w:r>
      <w:r>
        <w:rPr>
          <w:color w:val="000000" w:themeColor="text1"/>
          <w:sz w:val="28"/>
          <w:szCs w:val="28"/>
        </w:rPr>
        <w:t xml:space="preserve">по итогам 2026 года оценивается, что в Ленинградской области будут осуществлять деятельность около 89 832 предприятий малого и среднего бизнеса. Среднесписочная численность работников на предприятиях МСП по итогам 2026 года оценивается на уровне 171,5 тыс. человек </w:t>
      </w:r>
      <w:r>
        <w:rPr>
          <w:color w:val="000000" w:themeColor="text1"/>
          <w:sz w:val="28"/>
        </w:rPr>
        <w:t>–</w:t>
      </w:r>
      <w:r>
        <w:rPr>
          <w:color w:val="000000" w:themeColor="text1"/>
          <w:sz w:val="28"/>
          <w:szCs w:val="28"/>
        </w:rPr>
        <w:t xml:space="preserve"> на уровне предыдущего года. При сохранении текущей динамики развития МСП к концу 2026 года оборот субъектов МСП ожидается на уровне 1 704,3 млрд рублей. </w:t>
      </w:r>
    </w:p>
    <w:p w:rsidR="000535AB" w:rsidRDefault="000535AB" w:rsidP="000535AB">
      <w:pPr>
        <w:pBdr>
          <w:top w:val="single" w:sz="4" w:space="0" w:color="FFFFFF"/>
          <w:left w:val="single" w:sz="4" w:space="0" w:color="FFFFFF"/>
          <w:bottom w:val="single" w:sz="4" w:space="30" w:color="FFFFFF"/>
          <w:right w:val="single" w:sz="4" w:space="8" w:color="FFFFFF"/>
        </w:pBdr>
        <w:shd w:val="clear" w:color="auto" w:fill="FFFFFF" w:themeFill="background1"/>
        <w:tabs>
          <w:tab w:val="left" w:pos="567"/>
        </w:tabs>
        <w:ind w:firstLine="709"/>
        <w:jc w:val="both"/>
        <w:rPr>
          <w:color w:val="000000" w:themeColor="text1"/>
          <w:sz w:val="28"/>
          <w:szCs w:val="28"/>
        </w:rPr>
      </w:pPr>
      <w:r>
        <w:rPr>
          <w:sz w:val="28"/>
          <w:szCs w:val="28"/>
        </w:rPr>
        <w:t xml:space="preserve">В сфере </w:t>
      </w:r>
      <w:r>
        <w:rPr>
          <w:b/>
          <w:sz w:val="28"/>
          <w:szCs w:val="28"/>
        </w:rPr>
        <w:t>потребительского рынка Ленинградской области</w:t>
      </w:r>
      <w:r>
        <w:rPr>
          <w:sz w:val="28"/>
          <w:szCs w:val="28"/>
        </w:rPr>
        <w:t xml:space="preserve"> в 2026 году ожидается </w:t>
      </w:r>
      <w:r>
        <w:rPr>
          <w:color w:val="000000" w:themeColor="text1"/>
          <w:sz w:val="28"/>
          <w:szCs w:val="28"/>
        </w:rPr>
        <w:t xml:space="preserve">устойчивый рост: по оценке оборот розничной торговли составит 975,0 млрд рублей, что на 1,0% выше уровня 2025 года в сопоставимых ценах, объем платных услуг населению </w:t>
      </w:r>
      <w:r>
        <w:rPr>
          <w:color w:val="000000" w:themeColor="text1"/>
          <w:sz w:val="28"/>
        </w:rPr>
        <w:t>–</w:t>
      </w:r>
      <w:r>
        <w:rPr>
          <w:color w:val="000000" w:themeColor="text1"/>
          <w:sz w:val="28"/>
          <w:szCs w:val="28"/>
        </w:rPr>
        <w:t xml:space="preserve"> 215,1 млрд рублей с реальным приростом в 4,4% по отношению к 2025 году.</w:t>
      </w:r>
    </w:p>
    <w:p w:rsidR="000535AB" w:rsidRDefault="000535AB" w:rsidP="000535AB">
      <w:pPr>
        <w:pBdr>
          <w:top w:val="single" w:sz="4" w:space="0" w:color="FFFFFF"/>
          <w:left w:val="single" w:sz="4" w:space="0" w:color="FFFFFF"/>
          <w:bottom w:val="single" w:sz="4" w:space="30" w:color="FFFFFF"/>
          <w:right w:val="single" w:sz="4" w:space="8" w:color="FFFFFF"/>
        </w:pBdr>
        <w:shd w:val="clear" w:color="auto" w:fill="FFFFFF" w:themeFill="background1"/>
        <w:tabs>
          <w:tab w:val="left" w:pos="567"/>
        </w:tabs>
        <w:ind w:firstLine="709"/>
        <w:jc w:val="both"/>
        <w:rPr>
          <w:sz w:val="28"/>
          <w:szCs w:val="28"/>
        </w:rPr>
      </w:pPr>
      <w:r>
        <w:rPr>
          <w:sz w:val="28"/>
          <w:szCs w:val="28"/>
        </w:rPr>
        <w:t xml:space="preserve">По оценке 2026 года </w:t>
      </w:r>
      <w:r>
        <w:rPr>
          <w:b/>
          <w:bCs/>
          <w:sz w:val="28"/>
          <w:szCs w:val="28"/>
        </w:rPr>
        <w:t xml:space="preserve">номинальная </w:t>
      </w:r>
      <w:r>
        <w:rPr>
          <w:sz w:val="28"/>
          <w:szCs w:val="28"/>
        </w:rPr>
        <w:t xml:space="preserve">начисленная среднемесячная </w:t>
      </w:r>
      <w:r>
        <w:rPr>
          <w:b/>
          <w:sz w:val="28"/>
          <w:szCs w:val="28"/>
        </w:rPr>
        <w:t>заработная плата работников</w:t>
      </w:r>
      <w:r>
        <w:rPr>
          <w:sz w:val="28"/>
          <w:szCs w:val="28"/>
        </w:rPr>
        <w:t xml:space="preserve"> организаций региона </w:t>
      </w:r>
      <w:r>
        <w:rPr>
          <w:color w:val="000000" w:themeColor="text1"/>
          <w:sz w:val="28"/>
          <w:szCs w:val="28"/>
        </w:rPr>
        <w:t xml:space="preserve">возрастет до </w:t>
      </w:r>
      <w:r>
        <w:rPr>
          <w:sz w:val="28"/>
          <w:szCs w:val="28"/>
          <w:highlight w:val="white"/>
        </w:rPr>
        <w:t xml:space="preserve">104 740,0 рублей (темп роста - 108,3% к уровню 2025 года), </w:t>
      </w:r>
      <w:r>
        <w:rPr>
          <w:b/>
          <w:bCs/>
          <w:sz w:val="28"/>
          <w:szCs w:val="28"/>
          <w:highlight w:val="white"/>
        </w:rPr>
        <w:t xml:space="preserve">реальная </w:t>
      </w:r>
      <w:r>
        <w:rPr>
          <w:sz w:val="28"/>
          <w:szCs w:val="28"/>
          <w:highlight w:val="white"/>
        </w:rPr>
        <w:t xml:space="preserve">заработная плата работников организаций составит 101,6% к уровню 2025 года. </w:t>
      </w:r>
    </w:p>
    <w:p w:rsidR="000535AB" w:rsidRDefault="000535AB" w:rsidP="000535AB">
      <w:pPr>
        <w:pBdr>
          <w:top w:val="single" w:sz="4" w:space="0" w:color="FFFFFF"/>
          <w:left w:val="single" w:sz="4" w:space="0" w:color="FFFFFF"/>
          <w:bottom w:val="single" w:sz="4" w:space="30" w:color="FFFFFF"/>
          <w:right w:val="single" w:sz="4" w:space="8" w:color="FFFFFF"/>
        </w:pBdr>
        <w:shd w:val="clear" w:color="auto" w:fill="FFFFFF" w:themeFill="background1"/>
        <w:tabs>
          <w:tab w:val="left" w:pos="567"/>
        </w:tabs>
        <w:ind w:firstLine="709"/>
        <w:jc w:val="both"/>
        <w:rPr>
          <w:color w:val="000000" w:themeColor="text1"/>
          <w:sz w:val="28"/>
          <w:szCs w:val="28"/>
        </w:rPr>
      </w:pPr>
      <w:r>
        <w:rPr>
          <w:color w:val="000000" w:themeColor="text1"/>
          <w:sz w:val="28"/>
          <w:szCs w:val="28"/>
        </w:rPr>
        <w:t xml:space="preserve">Стабильный рост заработной платы планируется обеспечить за счет: </w:t>
      </w:r>
    </w:p>
    <w:p w:rsidR="000535AB" w:rsidRDefault="000535AB" w:rsidP="000535AB">
      <w:pPr>
        <w:pBdr>
          <w:top w:val="single" w:sz="4" w:space="0" w:color="FFFFFF"/>
          <w:left w:val="single" w:sz="4" w:space="0" w:color="FFFFFF"/>
          <w:bottom w:val="single" w:sz="4" w:space="30" w:color="FFFFFF"/>
          <w:right w:val="single" w:sz="4" w:space="8" w:color="FFFFFF"/>
        </w:pBdr>
        <w:shd w:val="clear" w:color="auto" w:fill="FFFFFF" w:themeFill="background1"/>
        <w:tabs>
          <w:tab w:val="left" w:pos="567"/>
        </w:tabs>
        <w:ind w:firstLine="709"/>
        <w:jc w:val="both"/>
        <w:rPr>
          <w:color w:val="000000" w:themeColor="text1"/>
          <w:sz w:val="28"/>
          <w:szCs w:val="28"/>
        </w:rPr>
      </w:pPr>
      <w:r>
        <w:rPr>
          <w:color w:val="000000" w:themeColor="text1"/>
          <w:sz w:val="28"/>
          <w:szCs w:val="28"/>
        </w:rPr>
        <w:t xml:space="preserve">1. Осуществления мер по обеспечению минимальных государственных гарантий по оплате труда. В соответствии со статьей 4 Федерального закона от 24 октября 1997 года № 134-ФЗ с 2022 года величина прожиточного минимума (далее – ПМ) на душу населения в Ленинградской области рассчитывается ежегодно путем умножения величины ПМ на душу населения в целом по Российской Федерации, установленной на очередной год, на коэффициент региональной дифференциации, который утвержден дорожной картой ежегодного установления величины ПМ на душу населения в Ленинградской области (с 2025 года коэффициент региональной дифференциации составляет 1,07). </w:t>
      </w:r>
    </w:p>
    <w:p w:rsidR="000535AB" w:rsidRDefault="000535AB" w:rsidP="000535AB">
      <w:pPr>
        <w:pBdr>
          <w:top w:val="single" w:sz="4" w:space="0" w:color="FFFFFF"/>
          <w:left w:val="single" w:sz="4" w:space="0" w:color="FFFFFF"/>
          <w:bottom w:val="single" w:sz="4" w:space="30" w:color="FFFFFF"/>
          <w:right w:val="single" w:sz="4" w:space="8" w:color="FFFFFF"/>
        </w:pBdr>
        <w:shd w:val="clear" w:color="auto" w:fill="FFFFFF" w:themeFill="background1"/>
        <w:tabs>
          <w:tab w:val="left" w:pos="567"/>
        </w:tabs>
        <w:ind w:firstLine="709"/>
        <w:jc w:val="both"/>
        <w:rPr>
          <w:color w:val="000000" w:themeColor="text1"/>
          <w:sz w:val="28"/>
          <w:szCs w:val="28"/>
        </w:rPr>
      </w:pPr>
      <w:r>
        <w:rPr>
          <w:color w:val="000000" w:themeColor="text1"/>
          <w:sz w:val="28"/>
          <w:szCs w:val="28"/>
        </w:rPr>
        <w:t xml:space="preserve">Величина ПМ на душу населения в Ленинградской области в среднем на 2026 год – 20 265,0 рублей. </w:t>
      </w:r>
    </w:p>
    <w:p w:rsidR="000535AB" w:rsidRDefault="000535AB" w:rsidP="000535AB">
      <w:pPr>
        <w:pBdr>
          <w:top w:val="single" w:sz="4" w:space="0" w:color="FFFFFF"/>
          <w:left w:val="single" w:sz="4" w:space="0" w:color="FFFFFF"/>
          <w:bottom w:val="single" w:sz="4" w:space="30" w:color="FFFFFF"/>
          <w:right w:val="single" w:sz="4" w:space="8" w:color="FFFFFF"/>
        </w:pBdr>
        <w:shd w:val="clear" w:color="auto" w:fill="FFFFFF" w:themeFill="background1"/>
        <w:tabs>
          <w:tab w:val="left" w:pos="567"/>
        </w:tabs>
        <w:ind w:firstLine="709"/>
        <w:jc w:val="both"/>
        <w:rPr>
          <w:color w:val="000000" w:themeColor="text1"/>
          <w:sz w:val="28"/>
          <w:szCs w:val="28"/>
        </w:rPr>
      </w:pPr>
      <w:r>
        <w:rPr>
          <w:color w:val="000000" w:themeColor="text1"/>
          <w:sz w:val="28"/>
          <w:szCs w:val="28"/>
        </w:rPr>
        <w:lastRenderedPageBreak/>
        <w:t xml:space="preserve">2. Планомерного повышения заработной платы отдельных категорий работников бюджетной сферы и сохранение достигнутых целевых показателей в соответствии с указом Президента Российской Федерации от 7 мая 2012 года № 597 «О мероприятиях по реализации государственной социальной политики». </w:t>
      </w:r>
    </w:p>
    <w:p w:rsidR="000535AB" w:rsidRDefault="000535AB" w:rsidP="000535AB">
      <w:pPr>
        <w:pBdr>
          <w:top w:val="single" w:sz="4" w:space="0" w:color="FFFFFF"/>
          <w:left w:val="single" w:sz="4" w:space="0" w:color="FFFFFF"/>
          <w:bottom w:val="single" w:sz="4" w:space="30" w:color="FFFFFF"/>
          <w:right w:val="single" w:sz="4" w:space="8" w:color="FFFFFF"/>
        </w:pBdr>
        <w:shd w:val="clear" w:color="auto" w:fill="FFFFFF" w:themeFill="background1"/>
        <w:tabs>
          <w:tab w:val="left" w:pos="567"/>
        </w:tabs>
        <w:ind w:firstLine="709"/>
        <w:jc w:val="both"/>
        <w:rPr>
          <w:color w:val="000000" w:themeColor="text1"/>
          <w:sz w:val="28"/>
          <w:szCs w:val="28"/>
        </w:rPr>
      </w:pPr>
      <w:r>
        <w:rPr>
          <w:color w:val="000000" w:themeColor="text1"/>
          <w:sz w:val="28"/>
          <w:szCs w:val="28"/>
        </w:rPr>
        <w:t>3. Реализации в рамках Указа Президента Российской Федерации от 28.11.2025 № 1014 «Об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мероприятий «дорожной карты» по достижению в Ленинградской области значений (уровней) показателя «Темп роста (индекс роста) реального среднедушевого денежного дохода населения» для оценки эффективности деятельности Губернатора Ленинградской области и деятельности органов исполнительной власти Ленинградской области с обеспечением на период 2025-2030 годов устойчивого роста доходов населения Ленинградской области темпами не ниже уровня инфляции.</w:t>
      </w:r>
    </w:p>
    <w:p w:rsidR="000535AB" w:rsidRDefault="000535AB" w:rsidP="000535AB">
      <w:pPr>
        <w:pBdr>
          <w:top w:val="single" w:sz="4" w:space="0" w:color="FFFFFF"/>
          <w:left w:val="single" w:sz="4" w:space="0" w:color="FFFFFF"/>
          <w:bottom w:val="single" w:sz="4" w:space="30" w:color="FFFFFF"/>
          <w:right w:val="single" w:sz="4" w:space="8" w:color="FFFFFF"/>
        </w:pBdr>
        <w:shd w:val="clear" w:color="auto" w:fill="FFFFFF" w:themeFill="background1"/>
        <w:tabs>
          <w:tab w:val="left" w:pos="567"/>
        </w:tabs>
        <w:ind w:firstLine="709"/>
        <w:jc w:val="both"/>
        <w:rPr>
          <w:color w:val="000000" w:themeColor="text1"/>
          <w:sz w:val="28"/>
          <w:szCs w:val="28"/>
        </w:rPr>
      </w:pPr>
      <w:r>
        <w:rPr>
          <w:color w:val="000000" w:themeColor="text1"/>
          <w:sz w:val="28"/>
          <w:szCs w:val="28"/>
        </w:rPr>
        <w:t xml:space="preserve">4. Реализации мероприятий региональной программы Ленинградской области «Снижение доли населения с доходами ниже границы бедности», утвержденной постановлением Правительства Ленинградской области от 07.12.2020 № 801.  </w:t>
      </w:r>
    </w:p>
    <w:p w:rsidR="000535AB" w:rsidRDefault="000535AB" w:rsidP="000535AB">
      <w:pPr>
        <w:pBdr>
          <w:top w:val="single" w:sz="4" w:space="0" w:color="FFFFFF"/>
          <w:left w:val="single" w:sz="4" w:space="0" w:color="FFFFFF"/>
          <w:bottom w:val="single" w:sz="4" w:space="30" w:color="FFFFFF"/>
          <w:right w:val="single" w:sz="4" w:space="8" w:color="FFFFFF"/>
        </w:pBdr>
        <w:shd w:val="clear" w:color="auto" w:fill="FFFFFF" w:themeFill="background1"/>
        <w:tabs>
          <w:tab w:val="left" w:pos="567"/>
        </w:tabs>
        <w:ind w:firstLine="709"/>
        <w:jc w:val="both"/>
        <w:rPr>
          <w:color w:val="000000" w:themeColor="text1"/>
          <w:sz w:val="28"/>
          <w:szCs w:val="28"/>
        </w:rPr>
      </w:pPr>
      <w:r>
        <w:rPr>
          <w:color w:val="000000" w:themeColor="text1"/>
          <w:sz w:val="28"/>
          <w:szCs w:val="28"/>
        </w:rPr>
        <w:t>По данным Росстата уровень бедности в Ленинградской области за 2025 год составил 4,6% (2024 год – 5,2%).</w:t>
      </w:r>
    </w:p>
    <w:p w:rsidR="000535AB" w:rsidRDefault="000535AB" w:rsidP="000535AB">
      <w:pPr>
        <w:pBdr>
          <w:top w:val="single" w:sz="4" w:space="0" w:color="FFFFFF"/>
          <w:left w:val="single" w:sz="4" w:space="0" w:color="FFFFFF"/>
          <w:bottom w:val="single" w:sz="4" w:space="30" w:color="FFFFFF"/>
          <w:right w:val="single" w:sz="4" w:space="8" w:color="FFFFFF"/>
        </w:pBdr>
        <w:shd w:val="clear" w:color="auto" w:fill="FFFFFF" w:themeFill="background1"/>
        <w:tabs>
          <w:tab w:val="left" w:pos="567"/>
        </w:tabs>
        <w:ind w:firstLine="709"/>
        <w:jc w:val="both"/>
        <w:rPr>
          <w:color w:val="000000" w:themeColor="text1"/>
          <w:sz w:val="28"/>
          <w:szCs w:val="28"/>
        </w:rPr>
      </w:pPr>
      <w:r>
        <w:rPr>
          <w:color w:val="000000" w:themeColor="text1"/>
          <w:sz w:val="28"/>
          <w:szCs w:val="28"/>
        </w:rPr>
        <w:t xml:space="preserve">В 2026 году </w:t>
      </w:r>
      <w:r>
        <w:rPr>
          <w:b/>
          <w:bCs/>
          <w:color w:val="000000" w:themeColor="text1"/>
          <w:sz w:val="28"/>
          <w:szCs w:val="28"/>
        </w:rPr>
        <w:t xml:space="preserve">численность занятых в экономике </w:t>
      </w:r>
      <w:r>
        <w:rPr>
          <w:color w:val="000000" w:themeColor="text1"/>
          <w:sz w:val="28"/>
          <w:szCs w:val="28"/>
        </w:rPr>
        <w:t xml:space="preserve">области оценивается </w:t>
      </w:r>
      <w:r>
        <w:rPr>
          <w:color w:val="000000" w:themeColor="text1"/>
          <w:sz w:val="28"/>
          <w:szCs w:val="28"/>
        </w:rPr>
        <w:br/>
        <w:t xml:space="preserve">на уровне 990,3 тыс. человек или 105,2% к 2025 году. </w:t>
      </w:r>
    </w:p>
    <w:p w:rsidR="000535AB" w:rsidRDefault="000535AB" w:rsidP="000535AB">
      <w:pPr>
        <w:pBdr>
          <w:top w:val="single" w:sz="4" w:space="0" w:color="FFFFFF"/>
          <w:left w:val="single" w:sz="4" w:space="0" w:color="FFFFFF"/>
          <w:bottom w:val="single" w:sz="4" w:space="30" w:color="FFFFFF"/>
          <w:right w:val="single" w:sz="4" w:space="8" w:color="FFFFFF"/>
        </w:pBdr>
        <w:shd w:val="clear" w:color="auto" w:fill="FFFFFF" w:themeFill="background1"/>
        <w:tabs>
          <w:tab w:val="left" w:pos="567"/>
        </w:tabs>
        <w:ind w:firstLine="709"/>
        <w:jc w:val="both"/>
        <w:rPr>
          <w:color w:val="000000" w:themeColor="text1"/>
          <w:sz w:val="28"/>
          <w:szCs w:val="28"/>
        </w:rPr>
      </w:pPr>
      <w:r>
        <w:rPr>
          <w:color w:val="000000" w:themeColor="text1"/>
          <w:sz w:val="28"/>
          <w:szCs w:val="28"/>
        </w:rPr>
        <w:t xml:space="preserve">По оценке к концу 2026 года </w:t>
      </w:r>
      <w:r>
        <w:rPr>
          <w:b/>
          <w:bCs/>
          <w:color w:val="000000" w:themeColor="text1"/>
          <w:sz w:val="28"/>
          <w:szCs w:val="28"/>
        </w:rPr>
        <w:t>уровень регистрируемой безработицы</w:t>
      </w:r>
      <w:r>
        <w:rPr>
          <w:color w:val="000000" w:themeColor="text1"/>
          <w:sz w:val="28"/>
          <w:szCs w:val="28"/>
        </w:rPr>
        <w:t xml:space="preserve"> не превысит значение 0,2% при численности официально зарегистрированных безработных не более 2,8 тыс. чел. </w:t>
      </w:r>
    </w:p>
    <w:p w:rsidR="004F0F0B" w:rsidRDefault="000535AB" w:rsidP="000535AB">
      <w:pPr>
        <w:pBdr>
          <w:top w:val="single" w:sz="4" w:space="0" w:color="FFFFFF"/>
          <w:left w:val="single" w:sz="4" w:space="0" w:color="FFFFFF"/>
          <w:bottom w:val="single" w:sz="4" w:space="30" w:color="FFFFFF"/>
          <w:right w:val="single" w:sz="4" w:space="8" w:color="FFFFFF"/>
        </w:pBdr>
        <w:shd w:val="clear" w:color="auto" w:fill="FFFFFF" w:themeFill="background1"/>
        <w:tabs>
          <w:tab w:val="left" w:pos="567"/>
        </w:tabs>
        <w:ind w:firstLine="709"/>
        <w:jc w:val="both"/>
        <w:rPr>
          <w:color w:val="000000" w:themeColor="text1"/>
          <w:sz w:val="28"/>
          <w:szCs w:val="28"/>
        </w:rPr>
      </w:pPr>
      <w:r>
        <w:rPr>
          <w:color w:val="000000" w:themeColor="text1"/>
          <w:sz w:val="28"/>
          <w:szCs w:val="28"/>
        </w:rPr>
        <w:t xml:space="preserve">Уровень </w:t>
      </w:r>
      <w:r>
        <w:rPr>
          <w:b/>
          <w:bCs/>
          <w:color w:val="000000" w:themeColor="text1"/>
          <w:sz w:val="28"/>
          <w:szCs w:val="28"/>
        </w:rPr>
        <w:t>общей безработицы</w:t>
      </w:r>
      <w:r>
        <w:rPr>
          <w:color w:val="000000" w:themeColor="text1"/>
          <w:sz w:val="28"/>
          <w:szCs w:val="28"/>
        </w:rPr>
        <w:t xml:space="preserve"> в среднем за 2026 год будет не более 2,8% при общей численности безработных в среднем за 2026 год порядка 32,0 тыс. чел. </w:t>
      </w:r>
    </w:p>
    <w:p w:rsidR="004F0F0B" w:rsidRDefault="000535AB">
      <w:pPr>
        <w:pBdr>
          <w:top w:val="single" w:sz="4" w:space="0" w:color="FFFFFF"/>
          <w:left w:val="single" w:sz="4" w:space="0" w:color="FFFFFF"/>
          <w:bottom w:val="single" w:sz="4" w:space="28" w:color="FFFFFF"/>
          <w:right w:val="single" w:sz="4" w:space="6" w:color="FFFFFF"/>
        </w:pBdr>
        <w:shd w:val="clear" w:color="auto" w:fill="FFFFFF" w:themeFill="background1"/>
        <w:tabs>
          <w:tab w:val="left" w:pos="567"/>
        </w:tabs>
        <w:ind w:firstLine="709"/>
        <w:jc w:val="both"/>
        <w:rPr>
          <w:color w:val="000000" w:themeColor="text1"/>
          <w:sz w:val="28"/>
          <w:szCs w:val="28"/>
        </w:rPr>
      </w:pPr>
      <w:r>
        <w:rPr>
          <w:color w:val="000000" w:themeColor="text1"/>
          <w:sz w:val="28"/>
          <w:szCs w:val="28"/>
        </w:rPr>
        <w:t xml:space="preserve"> </w:t>
      </w:r>
    </w:p>
    <w:p w:rsidR="004F0F0B" w:rsidRDefault="004F0F0B">
      <w:pPr>
        <w:pStyle w:val="24"/>
        <w:shd w:val="clear" w:color="auto" w:fill="FFFFFF"/>
        <w:spacing w:after="0"/>
        <w:ind w:firstLine="709"/>
        <w:rPr>
          <w:color w:val="FF0000"/>
        </w:rPr>
        <w:sectPr w:rsidR="004F0F0B">
          <w:headerReference w:type="default" r:id="rId9"/>
          <w:pgSz w:w="11906" w:h="16838"/>
          <w:pgMar w:top="1134" w:right="567" w:bottom="568" w:left="1134" w:header="708" w:footer="708" w:gutter="0"/>
          <w:cols w:space="708"/>
          <w:titlePg/>
          <w:docGrid w:linePitch="360"/>
        </w:sectPr>
      </w:pPr>
    </w:p>
    <w:p w:rsidR="004F0F0B" w:rsidRDefault="000535AB">
      <w:pPr>
        <w:jc w:val="center"/>
        <w:rPr>
          <w:b/>
          <w:sz w:val="28"/>
          <w:szCs w:val="28"/>
        </w:rPr>
      </w:pPr>
      <w:r>
        <w:rPr>
          <w:b/>
          <w:sz w:val="28"/>
          <w:szCs w:val="28"/>
        </w:rPr>
        <w:lastRenderedPageBreak/>
        <w:t xml:space="preserve">Основные параметры прогноза социально-экономического развития Ленинградской области </w:t>
      </w:r>
    </w:p>
    <w:p w:rsidR="004F0F0B" w:rsidRDefault="000535AB">
      <w:pPr>
        <w:jc w:val="center"/>
        <w:rPr>
          <w:b/>
          <w:sz w:val="28"/>
          <w:szCs w:val="28"/>
        </w:rPr>
      </w:pPr>
      <w:r>
        <w:rPr>
          <w:b/>
          <w:sz w:val="28"/>
          <w:szCs w:val="28"/>
        </w:rPr>
        <w:t>на 2027-2029 годы</w:t>
      </w:r>
    </w:p>
    <w:p w:rsidR="004F0F0B" w:rsidRDefault="004F0F0B">
      <w:pPr>
        <w:jc w:val="center"/>
        <w:rPr>
          <w:b/>
          <w:sz w:val="24"/>
          <w:szCs w:val="24"/>
        </w:rPr>
      </w:pPr>
    </w:p>
    <w:p w:rsidR="004F0F0B" w:rsidRDefault="000535AB">
      <w:pPr>
        <w:jc w:val="right"/>
        <w:rPr>
          <w:sz w:val="24"/>
          <w:szCs w:val="24"/>
        </w:rPr>
      </w:pPr>
      <w:r>
        <w:rPr>
          <w:sz w:val="24"/>
          <w:szCs w:val="24"/>
        </w:rPr>
        <w:t>по состоянию на 21.07.2026</w:t>
      </w:r>
    </w:p>
    <w:tbl>
      <w:tblPr>
        <w:tblW w:w="5000" w:type="pct"/>
        <w:jc w:val="center"/>
        <w:tblLook w:val="04A0" w:firstRow="1" w:lastRow="0" w:firstColumn="1" w:lastColumn="0" w:noHBand="0" w:noVBand="1"/>
      </w:tblPr>
      <w:tblGrid>
        <w:gridCol w:w="6292"/>
        <w:gridCol w:w="1549"/>
        <w:gridCol w:w="1364"/>
        <w:gridCol w:w="1580"/>
        <w:gridCol w:w="1269"/>
        <w:gridCol w:w="1463"/>
        <w:gridCol w:w="1269"/>
      </w:tblGrid>
      <w:tr w:rsidR="004F0F0B">
        <w:trPr>
          <w:trHeight w:val="315"/>
          <w:tblHeader/>
          <w:jc w:val="center"/>
        </w:trPr>
        <w:tc>
          <w:tcPr>
            <w:tcW w:w="629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F0F0B" w:rsidRDefault="000535AB">
            <w:pPr>
              <w:jc w:val="center"/>
              <w:rPr>
                <w:b/>
                <w:bCs/>
                <w:color w:val="000000"/>
                <w:sz w:val="24"/>
                <w:szCs w:val="24"/>
              </w:rPr>
            </w:pPr>
            <w:r>
              <w:rPr>
                <w:b/>
                <w:bCs/>
                <w:color w:val="000000"/>
                <w:sz w:val="24"/>
                <w:szCs w:val="24"/>
              </w:rPr>
              <w:t>Показатель, единицы измерения</w:t>
            </w:r>
          </w:p>
        </w:tc>
        <w:tc>
          <w:tcPr>
            <w:tcW w:w="2913" w:type="dxa"/>
            <w:gridSpan w:val="2"/>
            <w:tcBorders>
              <w:top w:val="single" w:sz="4" w:space="0" w:color="auto"/>
              <w:left w:val="none" w:sz="4" w:space="0" w:color="000000"/>
              <w:bottom w:val="single" w:sz="4" w:space="0" w:color="auto"/>
              <w:right w:val="single" w:sz="4" w:space="0" w:color="auto"/>
            </w:tcBorders>
            <w:shd w:val="clear" w:color="auto" w:fill="auto"/>
            <w:vAlign w:val="center"/>
          </w:tcPr>
          <w:p w:rsidR="004F0F0B" w:rsidRDefault="000535AB">
            <w:pPr>
              <w:jc w:val="center"/>
              <w:rPr>
                <w:b/>
                <w:bCs/>
                <w:color w:val="000000"/>
                <w:sz w:val="24"/>
                <w:szCs w:val="24"/>
              </w:rPr>
            </w:pPr>
            <w:r>
              <w:rPr>
                <w:b/>
                <w:bCs/>
                <w:color w:val="000000"/>
                <w:sz w:val="24"/>
                <w:szCs w:val="24"/>
              </w:rPr>
              <w:t>2027 год</w:t>
            </w:r>
          </w:p>
        </w:tc>
        <w:tc>
          <w:tcPr>
            <w:tcW w:w="2849" w:type="dxa"/>
            <w:gridSpan w:val="2"/>
            <w:tcBorders>
              <w:top w:val="single" w:sz="4" w:space="0" w:color="auto"/>
              <w:left w:val="none" w:sz="4" w:space="0" w:color="000000"/>
              <w:bottom w:val="single" w:sz="4" w:space="0" w:color="auto"/>
              <w:right w:val="single" w:sz="4" w:space="0" w:color="auto"/>
            </w:tcBorders>
            <w:shd w:val="clear" w:color="auto" w:fill="auto"/>
            <w:vAlign w:val="center"/>
          </w:tcPr>
          <w:p w:rsidR="004F0F0B" w:rsidRDefault="000535AB">
            <w:pPr>
              <w:jc w:val="center"/>
              <w:rPr>
                <w:b/>
                <w:bCs/>
                <w:color w:val="000000"/>
                <w:sz w:val="24"/>
                <w:szCs w:val="24"/>
              </w:rPr>
            </w:pPr>
            <w:r>
              <w:rPr>
                <w:b/>
                <w:bCs/>
                <w:color w:val="000000"/>
                <w:sz w:val="24"/>
                <w:szCs w:val="24"/>
              </w:rPr>
              <w:t>2028 год</w:t>
            </w:r>
          </w:p>
        </w:tc>
        <w:tc>
          <w:tcPr>
            <w:tcW w:w="2732" w:type="dxa"/>
            <w:gridSpan w:val="2"/>
            <w:tcBorders>
              <w:top w:val="single" w:sz="4" w:space="0" w:color="auto"/>
              <w:left w:val="none" w:sz="4" w:space="0" w:color="000000"/>
              <w:bottom w:val="single" w:sz="4" w:space="0" w:color="auto"/>
              <w:right w:val="single" w:sz="4" w:space="0" w:color="auto"/>
            </w:tcBorders>
            <w:shd w:val="clear" w:color="auto" w:fill="auto"/>
            <w:vAlign w:val="center"/>
          </w:tcPr>
          <w:p w:rsidR="004F0F0B" w:rsidRDefault="000535AB">
            <w:pPr>
              <w:jc w:val="center"/>
              <w:rPr>
                <w:b/>
                <w:bCs/>
                <w:color w:val="000000"/>
                <w:sz w:val="24"/>
                <w:szCs w:val="24"/>
              </w:rPr>
            </w:pPr>
            <w:r>
              <w:rPr>
                <w:b/>
                <w:bCs/>
                <w:color w:val="000000"/>
                <w:sz w:val="24"/>
                <w:szCs w:val="24"/>
              </w:rPr>
              <w:t>2029 год</w:t>
            </w:r>
          </w:p>
        </w:tc>
      </w:tr>
      <w:tr w:rsidR="004F0F0B">
        <w:trPr>
          <w:trHeight w:val="315"/>
          <w:tblHeader/>
          <w:jc w:val="center"/>
        </w:trPr>
        <w:tc>
          <w:tcPr>
            <w:tcW w:w="6292" w:type="dxa"/>
            <w:vMerge/>
            <w:tcBorders>
              <w:top w:val="single" w:sz="4" w:space="0" w:color="auto"/>
              <w:left w:val="single" w:sz="4" w:space="0" w:color="auto"/>
              <w:bottom w:val="single" w:sz="4" w:space="0" w:color="auto"/>
              <w:right w:val="single" w:sz="4" w:space="0" w:color="auto"/>
            </w:tcBorders>
            <w:vAlign w:val="center"/>
          </w:tcPr>
          <w:p w:rsidR="004F0F0B" w:rsidRDefault="004F0F0B">
            <w:pPr>
              <w:rPr>
                <w:b/>
                <w:bCs/>
                <w:color w:val="000000"/>
                <w:sz w:val="24"/>
                <w:szCs w:val="24"/>
              </w:rPr>
            </w:pPr>
          </w:p>
        </w:tc>
        <w:tc>
          <w:tcPr>
            <w:tcW w:w="8494" w:type="dxa"/>
            <w:gridSpan w:val="6"/>
            <w:tcBorders>
              <w:top w:val="single" w:sz="4" w:space="0" w:color="auto"/>
              <w:left w:val="none" w:sz="4" w:space="0" w:color="000000"/>
              <w:bottom w:val="single" w:sz="4" w:space="0" w:color="auto"/>
              <w:right w:val="single" w:sz="4" w:space="0" w:color="auto"/>
            </w:tcBorders>
            <w:shd w:val="clear" w:color="auto" w:fill="auto"/>
            <w:vAlign w:val="center"/>
          </w:tcPr>
          <w:p w:rsidR="004F0F0B" w:rsidRDefault="000535AB">
            <w:pPr>
              <w:jc w:val="center"/>
              <w:rPr>
                <w:b/>
                <w:bCs/>
                <w:color w:val="000000"/>
                <w:sz w:val="24"/>
                <w:szCs w:val="24"/>
              </w:rPr>
            </w:pPr>
            <w:r>
              <w:rPr>
                <w:b/>
                <w:bCs/>
                <w:color w:val="000000"/>
                <w:sz w:val="24"/>
                <w:szCs w:val="24"/>
              </w:rPr>
              <w:t>прогноз</w:t>
            </w:r>
          </w:p>
        </w:tc>
      </w:tr>
      <w:tr w:rsidR="004F0F0B">
        <w:trPr>
          <w:trHeight w:val="510"/>
          <w:tblHeader/>
          <w:jc w:val="center"/>
        </w:trPr>
        <w:tc>
          <w:tcPr>
            <w:tcW w:w="6292" w:type="dxa"/>
            <w:vMerge/>
            <w:tcBorders>
              <w:top w:val="single" w:sz="4" w:space="0" w:color="auto"/>
              <w:left w:val="single" w:sz="4" w:space="0" w:color="auto"/>
              <w:bottom w:val="single" w:sz="4" w:space="0" w:color="auto"/>
              <w:right w:val="single" w:sz="4" w:space="0" w:color="auto"/>
            </w:tcBorders>
            <w:vAlign w:val="center"/>
          </w:tcPr>
          <w:p w:rsidR="004F0F0B" w:rsidRDefault="004F0F0B">
            <w:pPr>
              <w:rPr>
                <w:b/>
                <w:bCs/>
                <w:color w:val="000000"/>
                <w:sz w:val="24"/>
                <w:szCs w:val="24"/>
              </w:rPr>
            </w:pPr>
          </w:p>
        </w:tc>
        <w:tc>
          <w:tcPr>
            <w:tcW w:w="1549" w:type="dxa"/>
            <w:tcBorders>
              <w:top w:val="none" w:sz="4" w:space="0" w:color="000000"/>
              <w:left w:val="none" w:sz="4" w:space="0" w:color="000000"/>
              <w:bottom w:val="single" w:sz="4" w:space="0" w:color="auto"/>
              <w:right w:val="single" w:sz="4" w:space="0" w:color="auto"/>
            </w:tcBorders>
            <w:shd w:val="clear" w:color="auto" w:fill="auto"/>
            <w:vAlign w:val="center"/>
          </w:tcPr>
          <w:p w:rsidR="004F0F0B" w:rsidRDefault="000535AB">
            <w:pPr>
              <w:jc w:val="center"/>
              <w:rPr>
                <w:b/>
                <w:bCs/>
                <w:color w:val="000000"/>
                <w:sz w:val="24"/>
                <w:szCs w:val="24"/>
              </w:rPr>
            </w:pPr>
            <w:r>
              <w:rPr>
                <w:b/>
                <w:bCs/>
                <w:color w:val="000000"/>
                <w:sz w:val="24"/>
                <w:szCs w:val="24"/>
              </w:rPr>
              <w:t>Консерва-тивный</w:t>
            </w:r>
          </w:p>
        </w:tc>
        <w:tc>
          <w:tcPr>
            <w:tcW w:w="1364" w:type="dxa"/>
            <w:tcBorders>
              <w:top w:val="none" w:sz="4" w:space="0" w:color="000000"/>
              <w:left w:val="none" w:sz="4" w:space="0" w:color="000000"/>
              <w:bottom w:val="single" w:sz="4" w:space="0" w:color="auto"/>
              <w:right w:val="single" w:sz="4" w:space="0" w:color="auto"/>
            </w:tcBorders>
            <w:shd w:val="clear" w:color="auto" w:fill="auto"/>
            <w:vAlign w:val="center"/>
          </w:tcPr>
          <w:p w:rsidR="004F0F0B" w:rsidRDefault="000535AB">
            <w:pPr>
              <w:jc w:val="center"/>
              <w:rPr>
                <w:b/>
                <w:bCs/>
                <w:color w:val="000000"/>
                <w:sz w:val="24"/>
                <w:szCs w:val="24"/>
              </w:rPr>
            </w:pPr>
            <w:r>
              <w:rPr>
                <w:b/>
                <w:bCs/>
                <w:color w:val="000000"/>
                <w:sz w:val="24"/>
                <w:szCs w:val="24"/>
              </w:rPr>
              <w:t>Базовый</w:t>
            </w:r>
          </w:p>
        </w:tc>
        <w:tc>
          <w:tcPr>
            <w:tcW w:w="1580" w:type="dxa"/>
            <w:tcBorders>
              <w:top w:val="none" w:sz="4" w:space="0" w:color="000000"/>
              <w:left w:val="none" w:sz="4" w:space="0" w:color="000000"/>
              <w:bottom w:val="single" w:sz="4" w:space="0" w:color="auto"/>
              <w:right w:val="single" w:sz="4" w:space="0" w:color="auto"/>
            </w:tcBorders>
            <w:shd w:val="clear" w:color="auto" w:fill="auto"/>
            <w:vAlign w:val="center"/>
          </w:tcPr>
          <w:p w:rsidR="004F0F0B" w:rsidRDefault="000535AB">
            <w:pPr>
              <w:jc w:val="center"/>
              <w:rPr>
                <w:b/>
                <w:bCs/>
                <w:color w:val="000000"/>
                <w:sz w:val="24"/>
                <w:szCs w:val="24"/>
              </w:rPr>
            </w:pPr>
            <w:r>
              <w:rPr>
                <w:b/>
                <w:bCs/>
                <w:color w:val="000000"/>
                <w:sz w:val="24"/>
                <w:szCs w:val="24"/>
              </w:rPr>
              <w:t>Консерва-тивный</w:t>
            </w:r>
          </w:p>
        </w:tc>
        <w:tc>
          <w:tcPr>
            <w:tcW w:w="1269" w:type="dxa"/>
            <w:tcBorders>
              <w:top w:val="none" w:sz="4" w:space="0" w:color="000000"/>
              <w:left w:val="none" w:sz="4" w:space="0" w:color="000000"/>
              <w:bottom w:val="single" w:sz="4" w:space="0" w:color="auto"/>
              <w:right w:val="single" w:sz="4" w:space="0" w:color="auto"/>
            </w:tcBorders>
            <w:shd w:val="clear" w:color="auto" w:fill="auto"/>
            <w:vAlign w:val="center"/>
          </w:tcPr>
          <w:p w:rsidR="004F0F0B" w:rsidRDefault="000535AB">
            <w:pPr>
              <w:jc w:val="center"/>
              <w:rPr>
                <w:b/>
                <w:bCs/>
                <w:color w:val="000000"/>
                <w:sz w:val="24"/>
                <w:szCs w:val="24"/>
              </w:rPr>
            </w:pPr>
            <w:r>
              <w:rPr>
                <w:b/>
                <w:bCs/>
                <w:color w:val="000000"/>
                <w:sz w:val="24"/>
                <w:szCs w:val="24"/>
              </w:rPr>
              <w:t>Базовый</w:t>
            </w:r>
          </w:p>
        </w:tc>
        <w:tc>
          <w:tcPr>
            <w:tcW w:w="1463" w:type="dxa"/>
            <w:tcBorders>
              <w:top w:val="none" w:sz="4" w:space="0" w:color="000000"/>
              <w:left w:val="none" w:sz="4" w:space="0" w:color="000000"/>
              <w:bottom w:val="single" w:sz="4" w:space="0" w:color="auto"/>
              <w:right w:val="single" w:sz="4" w:space="0" w:color="auto"/>
            </w:tcBorders>
            <w:shd w:val="clear" w:color="auto" w:fill="auto"/>
            <w:vAlign w:val="center"/>
          </w:tcPr>
          <w:p w:rsidR="004F0F0B" w:rsidRDefault="000535AB">
            <w:pPr>
              <w:jc w:val="center"/>
              <w:rPr>
                <w:b/>
                <w:bCs/>
                <w:color w:val="000000"/>
                <w:sz w:val="24"/>
                <w:szCs w:val="24"/>
              </w:rPr>
            </w:pPr>
            <w:r>
              <w:rPr>
                <w:b/>
                <w:bCs/>
                <w:color w:val="000000"/>
                <w:sz w:val="24"/>
                <w:szCs w:val="24"/>
              </w:rPr>
              <w:t>Консерва-тивный</w:t>
            </w:r>
          </w:p>
        </w:tc>
        <w:tc>
          <w:tcPr>
            <w:tcW w:w="1269" w:type="dxa"/>
            <w:tcBorders>
              <w:top w:val="none" w:sz="4" w:space="0" w:color="000000"/>
              <w:left w:val="none" w:sz="4" w:space="0" w:color="000000"/>
              <w:bottom w:val="single" w:sz="4" w:space="0" w:color="auto"/>
              <w:right w:val="single" w:sz="4" w:space="0" w:color="auto"/>
            </w:tcBorders>
            <w:shd w:val="clear" w:color="auto" w:fill="auto"/>
            <w:vAlign w:val="center"/>
          </w:tcPr>
          <w:p w:rsidR="004F0F0B" w:rsidRDefault="000535AB">
            <w:pPr>
              <w:jc w:val="center"/>
              <w:rPr>
                <w:b/>
                <w:bCs/>
                <w:color w:val="000000"/>
                <w:sz w:val="24"/>
                <w:szCs w:val="24"/>
              </w:rPr>
            </w:pPr>
            <w:r>
              <w:rPr>
                <w:b/>
                <w:bCs/>
                <w:color w:val="000000"/>
                <w:sz w:val="24"/>
                <w:szCs w:val="24"/>
              </w:rPr>
              <w:t>Базовый</w:t>
            </w:r>
          </w:p>
        </w:tc>
      </w:tr>
      <w:tr w:rsidR="004F0F0B">
        <w:trPr>
          <w:trHeight w:val="360"/>
          <w:jc w:val="center"/>
        </w:trPr>
        <w:tc>
          <w:tcPr>
            <w:tcW w:w="6292" w:type="dxa"/>
            <w:tcBorders>
              <w:top w:val="none" w:sz="4" w:space="0" w:color="000000"/>
              <w:left w:val="single" w:sz="4" w:space="0" w:color="auto"/>
              <w:bottom w:val="single" w:sz="4" w:space="0" w:color="auto"/>
              <w:right w:val="single" w:sz="4" w:space="0" w:color="auto"/>
            </w:tcBorders>
            <w:shd w:val="clear" w:color="auto" w:fill="auto"/>
            <w:vAlign w:val="center"/>
          </w:tcPr>
          <w:p w:rsidR="004F0F0B" w:rsidRDefault="000535AB">
            <w:pPr>
              <w:rPr>
                <w:b/>
                <w:bCs/>
                <w:color w:val="000000"/>
                <w:sz w:val="24"/>
                <w:szCs w:val="24"/>
              </w:rPr>
            </w:pPr>
            <w:r>
              <w:rPr>
                <w:b/>
                <w:bCs/>
                <w:color w:val="000000"/>
                <w:sz w:val="24"/>
                <w:szCs w:val="24"/>
              </w:rPr>
              <w:t>Валовой региональный продукт (ВРП)</w:t>
            </w:r>
          </w:p>
        </w:tc>
        <w:tc>
          <w:tcPr>
            <w:tcW w:w="154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rPr>
                <w:color w:val="000000"/>
                <w:sz w:val="24"/>
                <w:szCs w:val="24"/>
              </w:rPr>
            </w:pPr>
            <w:r>
              <w:rPr>
                <w:color w:val="000000"/>
                <w:sz w:val="24"/>
                <w:szCs w:val="24"/>
              </w:rPr>
              <w:t> </w:t>
            </w:r>
          </w:p>
        </w:tc>
        <w:tc>
          <w:tcPr>
            <w:tcW w:w="1364"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rPr>
                <w:color w:val="000000"/>
                <w:sz w:val="24"/>
                <w:szCs w:val="24"/>
              </w:rPr>
            </w:pPr>
            <w:r>
              <w:rPr>
                <w:color w:val="000000"/>
                <w:sz w:val="24"/>
                <w:szCs w:val="24"/>
              </w:rPr>
              <w:t> </w:t>
            </w:r>
          </w:p>
        </w:tc>
        <w:tc>
          <w:tcPr>
            <w:tcW w:w="1580"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rPr>
                <w:color w:val="000000"/>
                <w:sz w:val="24"/>
                <w:szCs w:val="24"/>
              </w:rPr>
            </w:pPr>
            <w:r>
              <w:rPr>
                <w:color w:val="000000"/>
                <w:sz w:val="24"/>
                <w:szCs w:val="24"/>
              </w:rPr>
              <w:t> </w:t>
            </w:r>
          </w:p>
        </w:tc>
        <w:tc>
          <w:tcPr>
            <w:tcW w:w="1269" w:type="dxa"/>
            <w:tcBorders>
              <w:top w:val="none" w:sz="4" w:space="0" w:color="000000"/>
              <w:left w:val="none" w:sz="4" w:space="0" w:color="000000"/>
              <w:bottom w:val="single" w:sz="4" w:space="0" w:color="auto"/>
              <w:right w:val="single" w:sz="4" w:space="0" w:color="auto"/>
            </w:tcBorders>
            <w:shd w:val="clear" w:color="auto" w:fill="FFFFFF" w:themeFill="background1"/>
            <w:noWrap/>
            <w:vAlign w:val="center"/>
          </w:tcPr>
          <w:p w:rsidR="004F0F0B" w:rsidRDefault="000535AB">
            <w:pPr>
              <w:jc w:val="center"/>
              <w:rPr>
                <w:sz w:val="24"/>
                <w:szCs w:val="24"/>
              </w:rPr>
            </w:pPr>
            <w:r>
              <w:rPr>
                <w:sz w:val="24"/>
                <w:szCs w:val="24"/>
              </w:rPr>
              <w:t> </w:t>
            </w:r>
          </w:p>
        </w:tc>
        <w:tc>
          <w:tcPr>
            <w:tcW w:w="1463" w:type="dxa"/>
            <w:tcBorders>
              <w:top w:val="none" w:sz="4" w:space="0" w:color="000000"/>
              <w:left w:val="none" w:sz="4" w:space="0" w:color="000000"/>
              <w:bottom w:val="single" w:sz="4" w:space="0" w:color="auto"/>
              <w:right w:val="single" w:sz="4" w:space="0" w:color="auto"/>
            </w:tcBorders>
            <w:shd w:val="clear" w:color="auto" w:fill="FFFFFF" w:themeFill="background1"/>
            <w:noWrap/>
            <w:vAlign w:val="center"/>
          </w:tcPr>
          <w:p w:rsidR="004F0F0B" w:rsidRDefault="000535AB">
            <w:pPr>
              <w:jc w:val="center"/>
              <w:rPr>
                <w:sz w:val="24"/>
                <w:szCs w:val="24"/>
              </w:rPr>
            </w:pPr>
            <w:r>
              <w:rPr>
                <w:sz w:val="24"/>
                <w:szCs w:val="24"/>
              </w:rPr>
              <w:t> </w:t>
            </w:r>
          </w:p>
        </w:tc>
        <w:tc>
          <w:tcPr>
            <w:tcW w:w="1269" w:type="dxa"/>
            <w:tcBorders>
              <w:top w:val="none" w:sz="4" w:space="0" w:color="000000"/>
              <w:left w:val="none" w:sz="4" w:space="0" w:color="000000"/>
              <w:bottom w:val="single" w:sz="4" w:space="0" w:color="auto"/>
              <w:right w:val="single" w:sz="4" w:space="0" w:color="auto"/>
            </w:tcBorders>
            <w:shd w:val="clear" w:color="auto" w:fill="FFFFFF" w:themeFill="background1"/>
            <w:noWrap/>
            <w:vAlign w:val="center"/>
          </w:tcPr>
          <w:p w:rsidR="004F0F0B" w:rsidRDefault="000535AB">
            <w:pPr>
              <w:jc w:val="center"/>
              <w:rPr>
                <w:sz w:val="24"/>
                <w:szCs w:val="24"/>
              </w:rPr>
            </w:pPr>
            <w:r>
              <w:rPr>
                <w:sz w:val="24"/>
                <w:szCs w:val="24"/>
              </w:rPr>
              <w:t> </w:t>
            </w:r>
          </w:p>
        </w:tc>
      </w:tr>
      <w:tr w:rsidR="004F0F0B">
        <w:trPr>
          <w:trHeight w:val="360"/>
          <w:jc w:val="center"/>
        </w:trPr>
        <w:tc>
          <w:tcPr>
            <w:tcW w:w="6292" w:type="dxa"/>
            <w:tcBorders>
              <w:top w:val="none" w:sz="4" w:space="0" w:color="000000"/>
              <w:left w:val="single" w:sz="4" w:space="0" w:color="auto"/>
              <w:bottom w:val="single" w:sz="4" w:space="0" w:color="auto"/>
              <w:right w:val="single" w:sz="4" w:space="0" w:color="auto"/>
            </w:tcBorders>
            <w:shd w:val="clear" w:color="auto" w:fill="auto"/>
            <w:vAlign w:val="center"/>
          </w:tcPr>
          <w:p w:rsidR="004F0F0B" w:rsidRDefault="000535AB">
            <w:pPr>
              <w:rPr>
                <w:color w:val="000000"/>
                <w:sz w:val="24"/>
                <w:szCs w:val="24"/>
              </w:rPr>
            </w:pPr>
            <w:r>
              <w:rPr>
                <w:color w:val="000000"/>
                <w:sz w:val="24"/>
                <w:szCs w:val="24"/>
              </w:rPr>
              <w:t>Индекс-дефлятор объема ВРП, в % к предыдущему году</w:t>
            </w:r>
          </w:p>
        </w:tc>
        <w:tc>
          <w:tcPr>
            <w:tcW w:w="154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104,0</w:t>
            </w:r>
          </w:p>
        </w:tc>
        <w:tc>
          <w:tcPr>
            <w:tcW w:w="1364"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105,2</w:t>
            </w:r>
          </w:p>
        </w:tc>
        <w:tc>
          <w:tcPr>
            <w:tcW w:w="1580"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104,0</w:t>
            </w:r>
          </w:p>
        </w:tc>
        <w:tc>
          <w:tcPr>
            <w:tcW w:w="126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105,0</w:t>
            </w:r>
          </w:p>
        </w:tc>
        <w:tc>
          <w:tcPr>
            <w:tcW w:w="1463"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104,0</w:t>
            </w:r>
          </w:p>
        </w:tc>
        <w:tc>
          <w:tcPr>
            <w:tcW w:w="126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104,3</w:t>
            </w:r>
          </w:p>
        </w:tc>
      </w:tr>
      <w:tr w:rsidR="004F0F0B">
        <w:trPr>
          <w:trHeight w:val="360"/>
          <w:jc w:val="center"/>
        </w:trPr>
        <w:tc>
          <w:tcPr>
            <w:tcW w:w="6292" w:type="dxa"/>
            <w:tcBorders>
              <w:top w:val="none" w:sz="4" w:space="0" w:color="000000"/>
              <w:left w:val="single" w:sz="4" w:space="0" w:color="auto"/>
              <w:bottom w:val="single" w:sz="4" w:space="0" w:color="auto"/>
              <w:right w:val="single" w:sz="4" w:space="0" w:color="auto"/>
            </w:tcBorders>
            <w:shd w:val="clear" w:color="auto" w:fill="auto"/>
            <w:vAlign w:val="center"/>
          </w:tcPr>
          <w:p w:rsidR="004F0F0B" w:rsidRDefault="000535AB">
            <w:pPr>
              <w:rPr>
                <w:color w:val="000000"/>
                <w:sz w:val="24"/>
                <w:szCs w:val="24"/>
              </w:rPr>
            </w:pPr>
            <w:r>
              <w:rPr>
                <w:color w:val="000000"/>
                <w:sz w:val="24"/>
                <w:szCs w:val="24"/>
              </w:rPr>
              <w:t xml:space="preserve">Индекс физического объема ВРП, в % к предыдущему году </w:t>
            </w:r>
          </w:p>
        </w:tc>
        <w:tc>
          <w:tcPr>
            <w:tcW w:w="154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100,5</w:t>
            </w:r>
          </w:p>
        </w:tc>
        <w:tc>
          <w:tcPr>
            <w:tcW w:w="1364"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101,5</w:t>
            </w:r>
          </w:p>
        </w:tc>
        <w:tc>
          <w:tcPr>
            <w:tcW w:w="1580"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101,4</w:t>
            </w:r>
          </w:p>
        </w:tc>
        <w:tc>
          <w:tcPr>
            <w:tcW w:w="126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102,0</w:t>
            </w:r>
          </w:p>
        </w:tc>
        <w:tc>
          <w:tcPr>
            <w:tcW w:w="1463"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101,0</w:t>
            </w:r>
          </w:p>
        </w:tc>
        <w:tc>
          <w:tcPr>
            <w:tcW w:w="126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102,0</w:t>
            </w:r>
          </w:p>
        </w:tc>
      </w:tr>
      <w:tr w:rsidR="004F0F0B">
        <w:trPr>
          <w:trHeight w:val="360"/>
          <w:jc w:val="center"/>
        </w:trPr>
        <w:tc>
          <w:tcPr>
            <w:tcW w:w="6292" w:type="dxa"/>
            <w:tcBorders>
              <w:top w:val="none" w:sz="4" w:space="0" w:color="000000"/>
              <w:left w:val="single" w:sz="4" w:space="0" w:color="auto"/>
              <w:bottom w:val="single" w:sz="4" w:space="0" w:color="auto"/>
              <w:right w:val="single" w:sz="4" w:space="0" w:color="auto"/>
            </w:tcBorders>
            <w:shd w:val="clear" w:color="auto" w:fill="auto"/>
            <w:vAlign w:val="center"/>
          </w:tcPr>
          <w:p w:rsidR="004F0F0B" w:rsidRDefault="000535AB">
            <w:pPr>
              <w:rPr>
                <w:color w:val="000000"/>
                <w:sz w:val="24"/>
                <w:szCs w:val="24"/>
              </w:rPr>
            </w:pPr>
            <w:r>
              <w:rPr>
                <w:color w:val="000000"/>
                <w:sz w:val="24"/>
                <w:szCs w:val="24"/>
              </w:rPr>
              <w:t>Объем ВРП, в % к предыдущему году в действующих ценах</w:t>
            </w:r>
          </w:p>
        </w:tc>
        <w:tc>
          <w:tcPr>
            <w:tcW w:w="154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104,5</w:t>
            </w:r>
          </w:p>
        </w:tc>
        <w:tc>
          <w:tcPr>
            <w:tcW w:w="1364"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106,8</w:t>
            </w:r>
          </w:p>
        </w:tc>
        <w:tc>
          <w:tcPr>
            <w:tcW w:w="1580"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105,5</w:t>
            </w:r>
          </w:p>
        </w:tc>
        <w:tc>
          <w:tcPr>
            <w:tcW w:w="126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107,1</w:t>
            </w:r>
          </w:p>
        </w:tc>
        <w:tc>
          <w:tcPr>
            <w:tcW w:w="1463"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105,0</w:t>
            </w:r>
          </w:p>
        </w:tc>
        <w:tc>
          <w:tcPr>
            <w:tcW w:w="126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106,4</w:t>
            </w:r>
          </w:p>
        </w:tc>
      </w:tr>
      <w:tr w:rsidR="004F0F0B">
        <w:trPr>
          <w:trHeight w:val="360"/>
          <w:jc w:val="center"/>
        </w:trPr>
        <w:tc>
          <w:tcPr>
            <w:tcW w:w="6292" w:type="dxa"/>
            <w:tcBorders>
              <w:top w:val="none" w:sz="4" w:space="0" w:color="000000"/>
              <w:left w:val="single" w:sz="4" w:space="0" w:color="auto"/>
              <w:bottom w:val="single" w:sz="4" w:space="0" w:color="auto"/>
              <w:right w:val="single" w:sz="4" w:space="0" w:color="auto"/>
            </w:tcBorders>
            <w:shd w:val="clear" w:color="auto" w:fill="auto"/>
            <w:vAlign w:val="center"/>
          </w:tcPr>
          <w:p w:rsidR="004F0F0B" w:rsidRDefault="000535AB">
            <w:pPr>
              <w:rPr>
                <w:b/>
                <w:bCs/>
                <w:color w:val="000000"/>
                <w:sz w:val="24"/>
                <w:szCs w:val="24"/>
              </w:rPr>
            </w:pPr>
            <w:r>
              <w:rPr>
                <w:b/>
                <w:bCs/>
                <w:color w:val="000000"/>
                <w:sz w:val="24"/>
                <w:szCs w:val="24"/>
              </w:rPr>
              <w:t>Промышленное производство</w:t>
            </w:r>
          </w:p>
        </w:tc>
        <w:tc>
          <w:tcPr>
            <w:tcW w:w="154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rPr>
                <w:color w:val="000000"/>
                <w:sz w:val="24"/>
                <w:szCs w:val="24"/>
              </w:rPr>
            </w:pPr>
            <w:r>
              <w:rPr>
                <w:color w:val="000000"/>
                <w:sz w:val="24"/>
                <w:szCs w:val="24"/>
              </w:rPr>
              <w:t> </w:t>
            </w:r>
          </w:p>
        </w:tc>
        <w:tc>
          <w:tcPr>
            <w:tcW w:w="1364"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rPr>
                <w:color w:val="000000"/>
                <w:sz w:val="24"/>
                <w:szCs w:val="24"/>
              </w:rPr>
            </w:pPr>
            <w:r>
              <w:rPr>
                <w:color w:val="000000"/>
                <w:sz w:val="24"/>
                <w:szCs w:val="24"/>
              </w:rPr>
              <w:t> </w:t>
            </w:r>
          </w:p>
        </w:tc>
        <w:tc>
          <w:tcPr>
            <w:tcW w:w="1580"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rPr>
                <w:color w:val="000000"/>
                <w:sz w:val="24"/>
                <w:szCs w:val="24"/>
              </w:rPr>
            </w:pPr>
            <w:r>
              <w:rPr>
                <w:color w:val="000000"/>
                <w:sz w:val="24"/>
                <w:szCs w:val="24"/>
              </w:rPr>
              <w:t> </w:t>
            </w:r>
          </w:p>
        </w:tc>
        <w:tc>
          <w:tcPr>
            <w:tcW w:w="1269" w:type="dxa"/>
            <w:tcBorders>
              <w:top w:val="none" w:sz="4" w:space="0" w:color="000000"/>
              <w:left w:val="none" w:sz="4" w:space="0" w:color="000000"/>
              <w:bottom w:val="single" w:sz="4" w:space="0" w:color="auto"/>
              <w:right w:val="single" w:sz="4" w:space="0" w:color="auto"/>
            </w:tcBorders>
            <w:shd w:val="clear" w:color="auto" w:fill="FFFFFF" w:themeFill="background1"/>
            <w:noWrap/>
            <w:vAlign w:val="center"/>
          </w:tcPr>
          <w:p w:rsidR="004F0F0B" w:rsidRDefault="000535AB">
            <w:pPr>
              <w:jc w:val="center"/>
              <w:rPr>
                <w:sz w:val="24"/>
                <w:szCs w:val="24"/>
              </w:rPr>
            </w:pPr>
            <w:r>
              <w:rPr>
                <w:sz w:val="24"/>
                <w:szCs w:val="24"/>
              </w:rPr>
              <w:t> </w:t>
            </w:r>
          </w:p>
        </w:tc>
        <w:tc>
          <w:tcPr>
            <w:tcW w:w="1463" w:type="dxa"/>
            <w:tcBorders>
              <w:top w:val="none" w:sz="4" w:space="0" w:color="000000"/>
              <w:left w:val="none" w:sz="4" w:space="0" w:color="000000"/>
              <w:bottom w:val="single" w:sz="4" w:space="0" w:color="auto"/>
              <w:right w:val="single" w:sz="4" w:space="0" w:color="auto"/>
            </w:tcBorders>
            <w:shd w:val="clear" w:color="auto" w:fill="FFFFFF" w:themeFill="background1"/>
            <w:noWrap/>
            <w:vAlign w:val="center"/>
          </w:tcPr>
          <w:p w:rsidR="004F0F0B" w:rsidRDefault="000535AB">
            <w:pPr>
              <w:jc w:val="center"/>
              <w:rPr>
                <w:sz w:val="24"/>
                <w:szCs w:val="24"/>
              </w:rPr>
            </w:pPr>
            <w:r>
              <w:rPr>
                <w:sz w:val="24"/>
                <w:szCs w:val="24"/>
              </w:rPr>
              <w:t> </w:t>
            </w:r>
          </w:p>
        </w:tc>
        <w:tc>
          <w:tcPr>
            <w:tcW w:w="1269" w:type="dxa"/>
            <w:tcBorders>
              <w:top w:val="none" w:sz="4" w:space="0" w:color="000000"/>
              <w:left w:val="none" w:sz="4" w:space="0" w:color="000000"/>
              <w:bottom w:val="single" w:sz="4" w:space="0" w:color="auto"/>
              <w:right w:val="single" w:sz="4" w:space="0" w:color="auto"/>
            </w:tcBorders>
            <w:shd w:val="clear" w:color="auto" w:fill="FFFFFF" w:themeFill="background1"/>
            <w:noWrap/>
            <w:vAlign w:val="center"/>
          </w:tcPr>
          <w:p w:rsidR="004F0F0B" w:rsidRDefault="000535AB">
            <w:pPr>
              <w:jc w:val="center"/>
              <w:rPr>
                <w:sz w:val="24"/>
                <w:szCs w:val="24"/>
              </w:rPr>
            </w:pPr>
            <w:r>
              <w:rPr>
                <w:sz w:val="24"/>
                <w:szCs w:val="24"/>
              </w:rPr>
              <w:t> </w:t>
            </w:r>
          </w:p>
        </w:tc>
      </w:tr>
      <w:tr w:rsidR="004F0F0B">
        <w:trPr>
          <w:trHeight w:val="360"/>
          <w:jc w:val="center"/>
        </w:trPr>
        <w:tc>
          <w:tcPr>
            <w:tcW w:w="6292" w:type="dxa"/>
            <w:tcBorders>
              <w:top w:val="none" w:sz="4" w:space="0" w:color="000000"/>
              <w:left w:val="single" w:sz="4" w:space="0" w:color="auto"/>
              <w:bottom w:val="single" w:sz="4" w:space="0" w:color="auto"/>
              <w:right w:val="single" w:sz="4" w:space="0" w:color="auto"/>
            </w:tcBorders>
            <w:shd w:val="clear" w:color="auto" w:fill="auto"/>
            <w:vAlign w:val="center"/>
          </w:tcPr>
          <w:p w:rsidR="004F0F0B" w:rsidRDefault="000535AB">
            <w:pPr>
              <w:rPr>
                <w:color w:val="000000"/>
                <w:sz w:val="24"/>
                <w:szCs w:val="24"/>
              </w:rPr>
            </w:pPr>
            <w:r>
              <w:rPr>
                <w:color w:val="000000"/>
                <w:sz w:val="24"/>
                <w:szCs w:val="24"/>
              </w:rPr>
              <w:t>Индекс-дефлятор, в % к предыдущему году</w:t>
            </w:r>
          </w:p>
        </w:tc>
        <w:tc>
          <w:tcPr>
            <w:tcW w:w="154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104,9</w:t>
            </w:r>
          </w:p>
        </w:tc>
        <w:tc>
          <w:tcPr>
            <w:tcW w:w="1364"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104,8</w:t>
            </w:r>
          </w:p>
        </w:tc>
        <w:tc>
          <w:tcPr>
            <w:tcW w:w="1580"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104,4</w:t>
            </w:r>
          </w:p>
        </w:tc>
        <w:tc>
          <w:tcPr>
            <w:tcW w:w="126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104,3</w:t>
            </w:r>
          </w:p>
        </w:tc>
        <w:tc>
          <w:tcPr>
            <w:tcW w:w="1463"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104,0</w:t>
            </w:r>
          </w:p>
        </w:tc>
        <w:tc>
          <w:tcPr>
            <w:tcW w:w="126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103,9</w:t>
            </w:r>
          </w:p>
        </w:tc>
      </w:tr>
      <w:tr w:rsidR="004F0F0B">
        <w:trPr>
          <w:trHeight w:val="360"/>
          <w:jc w:val="center"/>
        </w:trPr>
        <w:tc>
          <w:tcPr>
            <w:tcW w:w="6292" w:type="dxa"/>
            <w:tcBorders>
              <w:top w:val="none" w:sz="4" w:space="0" w:color="000000"/>
              <w:left w:val="single" w:sz="4" w:space="0" w:color="auto"/>
              <w:bottom w:val="single" w:sz="4" w:space="0" w:color="auto"/>
              <w:right w:val="single" w:sz="4" w:space="0" w:color="auto"/>
            </w:tcBorders>
            <w:shd w:val="clear" w:color="auto" w:fill="auto"/>
            <w:vAlign w:val="center"/>
          </w:tcPr>
          <w:p w:rsidR="004F0F0B" w:rsidRDefault="000535AB">
            <w:pPr>
              <w:rPr>
                <w:color w:val="000000"/>
                <w:sz w:val="24"/>
                <w:szCs w:val="24"/>
              </w:rPr>
            </w:pPr>
            <w:r>
              <w:rPr>
                <w:color w:val="000000"/>
                <w:sz w:val="24"/>
                <w:szCs w:val="24"/>
              </w:rPr>
              <w:t>Индекс промышленного производства, в % к предыдущему году в сопоставимых ценах</w:t>
            </w:r>
          </w:p>
        </w:tc>
        <w:tc>
          <w:tcPr>
            <w:tcW w:w="154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100,5</w:t>
            </w:r>
          </w:p>
        </w:tc>
        <w:tc>
          <w:tcPr>
            <w:tcW w:w="1364"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101,4</w:t>
            </w:r>
          </w:p>
        </w:tc>
        <w:tc>
          <w:tcPr>
            <w:tcW w:w="1580"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102,3</w:t>
            </w:r>
          </w:p>
        </w:tc>
        <w:tc>
          <w:tcPr>
            <w:tcW w:w="126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102,5</w:t>
            </w:r>
          </w:p>
        </w:tc>
        <w:tc>
          <w:tcPr>
            <w:tcW w:w="1463"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102,4</w:t>
            </w:r>
          </w:p>
        </w:tc>
        <w:tc>
          <w:tcPr>
            <w:tcW w:w="126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102,9</w:t>
            </w:r>
          </w:p>
        </w:tc>
      </w:tr>
      <w:tr w:rsidR="004F0F0B">
        <w:trPr>
          <w:trHeight w:val="360"/>
          <w:jc w:val="center"/>
        </w:trPr>
        <w:tc>
          <w:tcPr>
            <w:tcW w:w="6292" w:type="dxa"/>
            <w:tcBorders>
              <w:top w:val="none" w:sz="4" w:space="0" w:color="000000"/>
              <w:left w:val="single" w:sz="4" w:space="0" w:color="auto"/>
              <w:bottom w:val="single" w:sz="4" w:space="0" w:color="auto"/>
              <w:right w:val="single" w:sz="4" w:space="0" w:color="auto"/>
            </w:tcBorders>
            <w:shd w:val="clear" w:color="auto" w:fill="auto"/>
            <w:vAlign w:val="center"/>
          </w:tcPr>
          <w:p w:rsidR="004F0F0B" w:rsidRDefault="000535AB">
            <w:pPr>
              <w:rPr>
                <w:color w:val="000000"/>
                <w:sz w:val="24"/>
                <w:szCs w:val="24"/>
              </w:rPr>
            </w:pPr>
            <w:r>
              <w:rPr>
                <w:color w:val="000000"/>
                <w:sz w:val="24"/>
                <w:szCs w:val="24"/>
              </w:rPr>
              <w:t>Объем промышленного производства, в % к предыдущему году в действующих ценах</w:t>
            </w:r>
          </w:p>
        </w:tc>
        <w:tc>
          <w:tcPr>
            <w:tcW w:w="154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105,4</w:t>
            </w:r>
          </w:p>
        </w:tc>
        <w:tc>
          <w:tcPr>
            <w:tcW w:w="1364"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106,2</w:t>
            </w:r>
          </w:p>
        </w:tc>
        <w:tc>
          <w:tcPr>
            <w:tcW w:w="1580"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106,8</w:t>
            </w:r>
          </w:p>
        </w:tc>
        <w:tc>
          <w:tcPr>
            <w:tcW w:w="126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107,0</w:t>
            </w:r>
          </w:p>
        </w:tc>
        <w:tc>
          <w:tcPr>
            <w:tcW w:w="1463"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106,5</w:t>
            </w:r>
          </w:p>
        </w:tc>
        <w:tc>
          <w:tcPr>
            <w:tcW w:w="126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106,9</w:t>
            </w:r>
          </w:p>
        </w:tc>
      </w:tr>
      <w:tr w:rsidR="004F0F0B">
        <w:trPr>
          <w:trHeight w:val="360"/>
          <w:jc w:val="center"/>
        </w:trPr>
        <w:tc>
          <w:tcPr>
            <w:tcW w:w="6292" w:type="dxa"/>
            <w:tcBorders>
              <w:top w:val="none" w:sz="4" w:space="0" w:color="000000"/>
              <w:left w:val="single" w:sz="4" w:space="0" w:color="auto"/>
              <w:bottom w:val="single" w:sz="4" w:space="0" w:color="auto"/>
              <w:right w:val="single" w:sz="4" w:space="0" w:color="auto"/>
            </w:tcBorders>
            <w:shd w:val="clear" w:color="auto" w:fill="auto"/>
            <w:vAlign w:val="center"/>
          </w:tcPr>
          <w:p w:rsidR="004F0F0B" w:rsidRDefault="000535AB">
            <w:pPr>
              <w:rPr>
                <w:b/>
                <w:bCs/>
                <w:color w:val="000000"/>
                <w:sz w:val="24"/>
                <w:szCs w:val="24"/>
              </w:rPr>
            </w:pPr>
            <w:r>
              <w:rPr>
                <w:b/>
                <w:bCs/>
                <w:color w:val="000000"/>
                <w:sz w:val="24"/>
                <w:szCs w:val="24"/>
              </w:rPr>
              <w:t xml:space="preserve">Производство кокса, нефтепродуктов </w:t>
            </w:r>
          </w:p>
        </w:tc>
        <w:tc>
          <w:tcPr>
            <w:tcW w:w="154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4F0F0B">
            <w:pPr>
              <w:jc w:val="center"/>
            </w:pPr>
          </w:p>
        </w:tc>
        <w:tc>
          <w:tcPr>
            <w:tcW w:w="1364"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4F0F0B">
            <w:pPr>
              <w:jc w:val="center"/>
            </w:pPr>
          </w:p>
        </w:tc>
        <w:tc>
          <w:tcPr>
            <w:tcW w:w="1580"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4F0F0B">
            <w:pPr>
              <w:jc w:val="center"/>
            </w:pPr>
          </w:p>
        </w:tc>
        <w:tc>
          <w:tcPr>
            <w:tcW w:w="126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4F0F0B">
            <w:pPr>
              <w:jc w:val="center"/>
            </w:pPr>
          </w:p>
        </w:tc>
        <w:tc>
          <w:tcPr>
            <w:tcW w:w="1463"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4F0F0B">
            <w:pPr>
              <w:jc w:val="center"/>
            </w:pPr>
          </w:p>
        </w:tc>
        <w:tc>
          <w:tcPr>
            <w:tcW w:w="126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4F0F0B">
            <w:pPr>
              <w:jc w:val="center"/>
            </w:pPr>
          </w:p>
        </w:tc>
      </w:tr>
      <w:tr w:rsidR="004F0F0B">
        <w:trPr>
          <w:trHeight w:val="360"/>
          <w:jc w:val="center"/>
        </w:trPr>
        <w:tc>
          <w:tcPr>
            <w:tcW w:w="6292" w:type="dxa"/>
            <w:tcBorders>
              <w:top w:val="none" w:sz="4" w:space="0" w:color="000000"/>
              <w:left w:val="single" w:sz="4" w:space="0" w:color="auto"/>
              <w:bottom w:val="single" w:sz="4" w:space="0" w:color="auto"/>
              <w:right w:val="single" w:sz="4" w:space="0" w:color="auto"/>
            </w:tcBorders>
            <w:shd w:val="clear" w:color="auto" w:fill="auto"/>
            <w:vAlign w:val="center"/>
          </w:tcPr>
          <w:p w:rsidR="004F0F0B" w:rsidRDefault="000535AB">
            <w:pPr>
              <w:rPr>
                <w:color w:val="000000"/>
                <w:sz w:val="24"/>
                <w:szCs w:val="24"/>
              </w:rPr>
            </w:pPr>
            <w:r>
              <w:rPr>
                <w:color w:val="000000"/>
                <w:sz w:val="24"/>
                <w:szCs w:val="24"/>
              </w:rPr>
              <w:t>Индекс-дефлятор, в % к предыдущему году</w:t>
            </w:r>
          </w:p>
        </w:tc>
        <w:tc>
          <w:tcPr>
            <w:tcW w:w="154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103,6</w:t>
            </w:r>
          </w:p>
        </w:tc>
        <w:tc>
          <w:tcPr>
            <w:tcW w:w="1364"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104,5</w:t>
            </w:r>
          </w:p>
        </w:tc>
        <w:tc>
          <w:tcPr>
            <w:tcW w:w="1580"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104,0</w:t>
            </w:r>
          </w:p>
        </w:tc>
        <w:tc>
          <w:tcPr>
            <w:tcW w:w="126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104,5</w:t>
            </w:r>
          </w:p>
        </w:tc>
        <w:tc>
          <w:tcPr>
            <w:tcW w:w="1463"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103,9</w:t>
            </w:r>
          </w:p>
        </w:tc>
        <w:tc>
          <w:tcPr>
            <w:tcW w:w="126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104,5</w:t>
            </w:r>
          </w:p>
        </w:tc>
      </w:tr>
      <w:tr w:rsidR="004F0F0B">
        <w:trPr>
          <w:trHeight w:val="360"/>
          <w:jc w:val="center"/>
        </w:trPr>
        <w:tc>
          <w:tcPr>
            <w:tcW w:w="6292" w:type="dxa"/>
            <w:tcBorders>
              <w:top w:val="none" w:sz="4" w:space="0" w:color="000000"/>
              <w:left w:val="single" w:sz="4" w:space="0" w:color="auto"/>
              <w:bottom w:val="single" w:sz="4" w:space="0" w:color="auto"/>
              <w:right w:val="single" w:sz="4" w:space="0" w:color="auto"/>
            </w:tcBorders>
            <w:shd w:val="clear" w:color="auto" w:fill="auto"/>
            <w:vAlign w:val="center"/>
          </w:tcPr>
          <w:p w:rsidR="004F0F0B" w:rsidRDefault="000535AB">
            <w:pPr>
              <w:rPr>
                <w:color w:val="000000"/>
                <w:sz w:val="24"/>
                <w:szCs w:val="24"/>
              </w:rPr>
            </w:pPr>
            <w:r>
              <w:rPr>
                <w:color w:val="000000"/>
                <w:sz w:val="24"/>
                <w:szCs w:val="24"/>
              </w:rPr>
              <w:t>Индекс производства, в % к предыдущему году в сопоставимых ценах</w:t>
            </w:r>
          </w:p>
        </w:tc>
        <w:tc>
          <w:tcPr>
            <w:tcW w:w="154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100,0</w:t>
            </w:r>
          </w:p>
        </w:tc>
        <w:tc>
          <w:tcPr>
            <w:tcW w:w="1364"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105,5</w:t>
            </w:r>
          </w:p>
        </w:tc>
        <w:tc>
          <w:tcPr>
            <w:tcW w:w="1580"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100,0</w:t>
            </w:r>
          </w:p>
        </w:tc>
        <w:tc>
          <w:tcPr>
            <w:tcW w:w="126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100,0</w:t>
            </w:r>
          </w:p>
        </w:tc>
        <w:tc>
          <w:tcPr>
            <w:tcW w:w="1463"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100,0</w:t>
            </w:r>
          </w:p>
        </w:tc>
        <w:tc>
          <w:tcPr>
            <w:tcW w:w="126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100,0</w:t>
            </w:r>
          </w:p>
        </w:tc>
      </w:tr>
      <w:tr w:rsidR="004F0F0B">
        <w:trPr>
          <w:trHeight w:val="630"/>
          <w:jc w:val="center"/>
        </w:trPr>
        <w:tc>
          <w:tcPr>
            <w:tcW w:w="6292" w:type="dxa"/>
            <w:tcBorders>
              <w:top w:val="none" w:sz="4" w:space="0" w:color="000000"/>
              <w:left w:val="single" w:sz="4" w:space="0" w:color="auto"/>
              <w:bottom w:val="single" w:sz="4" w:space="0" w:color="auto"/>
              <w:right w:val="single" w:sz="4" w:space="0" w:color="auto"/>
            </w:tcBorders>
            <w:shd w:val="clear" w:color="auto" w:fill="auto"/>
            <w:vAlign w:val="center"/>
          </w:tcPr>
          <w:p w:rsidR="004F0F0B" w:rsidRDefault="000535AB">
            <w:pPr>
              <w:rPr>
                <w:color w:val="000000"/>
                <w:sz w:val="24"/>
                <w:szCs w:val="24"/>
              </w:rPr>
            </w:pPr>
            <w:r>
              <w:rPr>
                <w:color w:val="000000"/>
                <w:sz w:val="24"/>
                <w:szCs w:val="24"/>
              </w:rPr>
              <w:t>Объем производства кокса, нефтепродуктов, в % к предыдущему году в действующих ценах</w:t>
            </w:r>
          </w:p>
        </w:tc>
        <w:tc>
          <w:tcPr>
            <w:tcW w:w="154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103,6</w:t>
            </w:r>
          </w:p>
        </w:tc>
        <w:tc>
          <w:tcPr>
            <w:tcW w:w="1364"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110,2</w:t>
            </w:r>
          </w:p>
        </w:tc>
        <w:tc>
          <w:tcPr>
            <w:tcW w:w="1580"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104,0</w:t>
            </w:r>
          </w:p>
        </w:tc>
        <w:tc>
          <w:tcPr>
            <w:tcW w:w="126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104,5</w:t>
            </w:r>
          </w:p>
        </w:tc>
        <w:tc>
          <w:tcPr>
            <w:tcW w:w="1463"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103,9</w:t>
            </w:r>
          </w:p>
        </w:tc>
        <w:tc>
          <w:tcPr>
            <w:tcW w:w="126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104,5</w:t>
            </w:r>
          </w:p>
        </w:tc>
      </w:tr>
      <w:tr w:rsidR="004F0F0B">
        <w:trPr>
          <w:trHeight w:val="360"/>
          <w:jc w:val="center"/>
        </w:trPr>
        <w:tc>
          <w:tcPr>
            <w:tcW w:w="6292" w:type="dxa"/>
            <w:tcBorders>
              <w:top w:val="none" w:sz="4" w:space="0" w:color="000000"/>
              <w:left w:val="single" w:sz="4" w:space="0" w:color="auto"/>
              <w:bottom w:val="single" w:sz="4" w:space="0" w:color="auto"/>
              <w:right w:val="single" w:sz="4" w:space="0" w:color="auto"/>
            </w:tcBorders>
            <w:shd w:val="clear" w:color="auto" w:fill="auto"/>
            <w:vAlign w:val="center"/>
          </w:tcPr>
          <w:p w:rsidR="004F0F0B" w:rsidRDefault="000535AB">
            <w:pPr>
              <w:rPr>
                <w:b/>
                <w:bCs/>
                <w:color w:val="000000"/>
                <w:sz w:val="24"/>
                <w:szCs w:val="24"/>
              </w:rPr>
            </w:pPr>
            <w:r>
              <w:rPr>
                <w:b/>
                <w:bCs/>
                <w:color w:val="000000"/>
                <w:sz w:val="24"/>
                <w:szCs w:val="24"/>
              </w:rPr>
              <w:t>Объем продукции сельского хозяйства в хозяйствах всех категорий</w:t>
            </w:r>
          </w:p>
        </w:tc>
        <w:tc>
          <w:tcPr>
            <w:tcW w:w="154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rPr>
                <w:color w:val="000000"/>
                <w:sz w:val="24"/>
                <w:szCs w:val="24"/>
              </w:rPr>
            </w:pPr>
            <w:r>
              <w:rPr>
                <w:color w:val="000000"/>
                <w:sz w:val="24"/>
                <w:szCs w:val="24"/>
              </w:rPr>
              <w:t> </w:t>
            </w:r>
          </w:p>
        </w:tc>
        <w:tc>
          <w:tcPr>
            <w:tcW w:w="1364"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rPr>
                <w:color w:val="000000"/>
                <w:sz w:val="24"/>
                <w:szCs w:val="24"/>
              </w:rPr>
            </w:pPr>
            <w:r>
              <w:rPr>
                <w:color w:val="000000"/>
                <w:sz w:val="24"/>
                <w:szCs w:val="24"/>
              </w:rPr>
              <w:t> </w:t>
            </w:r>
          </w:p>
        </w:tc>
        <w:tc>
          <w:tcPr>
            <w:tcW w:w="1580"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rPr>
                <w:color w:val="000000"/>
                <w:sz w:val="24"/>
                <w:szCs w:val="24"/>
              </w:rPr>
            </w:pPr>
            <w:r>
              <w:rPr>
                <w:color w:val="000000"/>
                <w:sz w:val="24"/>
                <w:szCs w:val="24"/>
              </w:rPr>
              <w:t> </w:t>
            </w:r>
          </w:p>
        </w:tc>
        <w:tc>
          <w:tcPr>
            <w:tcW w:w="1269" w:type="dxa"/>
            <w:tcBorders>
              <w:top w:val="none" w:sz="4" w:space="0" w:color="000000"/>
              <w:left w:val="none" w:sz="4" w:space="0" w:color="000000"/>
              <w:bottom w:val="single" w:sz="4" w:space="0" w:color="auto"/>
              <w:right w:val="single" w:sz="4" w:space="0" w:color="auto"/>
            </w:tcBorders>
            <w:shd w:val="clear" w:color="auto" w:fill="FFFFFF" w:themeFill="background1"/>
            <w:noWrap/>
            <w:vAlign w:val="center"/>
          </w:tcPr>
          <w:p w:rsidR="004F0F0B" w:rsidRDefault="000535AB">
            <w:pPr>
              <w:jc w:val="center"/>
              <w:rPr>
                <w:sz w:val="24"/>
                <w:szCs w:val="24"/>
              </w:rPr>
            </w:pPr>
            <w:r>
              <w:rPr>
                <w:sz w:val="24"/>
                <w:szCs w:val="24"/>
              </w:rPr>
              <w:t> </w:t>
            </w:r>
          </w:p>
        </w:tc>
        <w:tc>
          <w:tcPr>
            <w:tcW w:w="1463" w:type="dxa"/>
            <w:tcBorders>
              <w:top w:val="none" w:sz="4" w:space="0" w:color="000000"/>
              <w:left w:val="none" w:sz="4" w:space="0" w:color="000000"/>
              <w:bottom w:val="single" w:sz="4" w:space="0" w:color="auto"/>
              <w:right w:val="single" w:sz="4" w:space="0" w:color="auto"/>
            </w:tcBorders>
            <w:shd w:val="clear" w:color="auto" w:fill="FFFFFF" w:themeFill="background1"/>
            <w:noWrap/>
            <w:vAlign w:val="center"/>
          </w:tcPr>
          <w:p w:rsidR="004F0F0B" w:rsidRDefault="000535AB">
            <w:pPr>
              <w:jc w:val="center"/>
              <w:rPr>
                <w:sz w:val="24"/>
                <w:szCs w:val="24"/>
              </w:rPr>
            </w:pPr>
            <w:r>
              <w:rPr>
                <w:sz w:val="24"/>
                <w:szCs w:val="24"/>
              </w:rPr>
              <w:t> </w:t>
            </w:r>
          </w:p>
        </w:tc>
        <w:tc>
          <w:tcPr>
            <w:tcW w:w="1269" w:type="dxa"/>
            <w:tcBorders>
              <w:top w:val="none" w:sz="4" w:space="0" w:color="000000"/>
              <w:left w:val="none" w:sz="4" w:space="0" w:color="000000"/>
              <w:bottom w:val="single" w:sz="4" w:space="0" w:color="auto"/>
              <w:right w:val="single" w:sz="4" w:space="0" w:color="auto"/>
            </w:tcBorders>
            <w:shd w:val="clear" w:color="auto" w:fill="FFFFFF" w:themeFill="background1"/>
            <w:noWrap/>
            <w:vAlign w:val="center"/>
          </w:tcPr>
          <w:p w:rsidR="004F0F0B" w:rsidRDefault="000535AB">
            <w:pPr>
              <w:jc w:val="center"/>
              <w:rPr>
                <w:sz w:val="24"/>
                <w:szCs w:val="24"/>
              </w:rPr>
            </w:pPr>
            <w:r>
              <w:rPr>
                <w:sz w:val="24"/>
                <w:szCs w:val="24"/>
              </w:rPr>
              <w:t> </w:t>
            </w:r>
          </w:p>
        </w:tc>
      </w:tr>
      <w:tr w:rsidR="004F0F0B">
        <w:trPr>
          <w:trHeight w:val="360"/>
          <w:jc w:val="center"/>
        </w:trPr>
        <w:tc>
          <w:tcPr>
            <w:tcW w:w="6292" w:type="dxa"/>
            <w:tcBorders>
              <w:top w:val="none" w:sz="4" w:space="0" w:color="000000"/>
              <w:left w:val="single" w:sz="4" w:space="0" w:color="auto"/>
              <w:bottom w:val="single" w:sz="4" w:space="0" w:color="auto"/>
              <w:right w:val="single" w:sz="4" w:space="0" w:color="auto"/>
            </w:tcBorders>
            <w:shd w:val="clear" w:color="auto" w:fill="auto"/>
            <w:vAlign w:val="center"/>
          </w:tcPr>
          <w:p w:rsidR="004F0F0B" w:rsidRDefault="000535AB">
            <w:pPr>
              <w:rPr>
                <w:color w:val="000000"/>
                <w:sz w:val="24"/>
                <w:szCs w:val="24"/>
              </w:rPr>
            </w:pPr>
            <w:r>
              <w:rPr>
                <w:color w:val="000000"/>
                <w:sz w:val="24"/>
                <w:szCs w:val="24"/>
              </w:rPr>
              <w:t>Индекс-дефлятор продукции сельского хозяйства, в % к предыдущему году</w:t>
            </w:r>
          </w:p>
        </w:tc>
        <w:tc>
          <w:tcPr>
            <w:tcW w:w="154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104,5</w:t>
            </w:r>
          </w:p>
        </w:tc>
        <w:tc>
          <w:tcPr>
            <w:tcW w:w="1364"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104,3</w:t>
            </w:r>
          </w:p>
        </w:tc>
        <w:tc>
          <w:tcPr>
            <w:tcW w:w="1580"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104,2</w:t>
            </w:r>
          </w:p>
        </w:tc>
        <w:tc>
          <w:tcPr>
            <w:tcW w:w="126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104,2</w:t>
            </w:r>
          </w:p>
        </w:tc>
        <w:tc>
          <w:tcPr>
            <w:tcW w:w="1463"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104,1</w:t>
            </w:r>
          </w:p>
        </w:tc>
        <w:tc>
          <w:tcPr>
            <w:tcW w:w="126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104,0</w:t>
            </w:r>
          </w:p>
        </w:tc>
      </w:tr>
      <w:tr w:rsidR="004F0F0B">
        <w:trPr>
          <w:trHeight w:val="630"/>
          <w:jc w:val="center"/>
        </w:trPr>
        <w:tc>
          <w:tcPr>
            <w:tcW w:w="6292" w:type="dxa"/>
            <w:tcBorders>
              <w:top w:val="none" w:sz="4" w:space="0" w:color="000000"/>
              <w:left w:val="single" w:sz="4" w:space="0" w:color="auto"/>
              <w:bottom w:val="single" w:sz="4" w:space="0" w:color="auto"/>
              <w:right w:val="single" w:sz="4" w:space="0" w:color="auto"/>
            </w:tcBorders>
            <w:shd w:val="clear" w:color="auto" w:fill="auto"/>
            <w:vAlign w:val="center"/>
          </w:tcPr>
          <w:p w:rsidR="004F0F0B" w:rsidRDefault="000535AB">
            <w:pPr>
              <w:rPr>
                <w:color w:val="000000"/>
                <w:sz w:val="24"/>
                <w:szCs w:val="24"/>
              </w:rPr>
            </w:pPr>
            <w:r>
              <w:rPr>
                <w:color w:val="000000"/>
                <w:sz w:val="24"/>
                <w:szCs w:val="24"/>
              </w:rPr>
              <w:t>Индекс производства продукции сельского хозяйства, в % к предыдущему году в сопоставимых ценах</w:t>
            </w:r>
          </w:p>
        </w:tc>
        <w:tc>
          <w:tcPr>
            <w:tcW w:w="154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100,1</w:t>
            </w:r>
          </w:p>
        </w:tc>
        <w:tc>
          <w:tcPr>
            <w:tcW w:w="1364"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100,3</w:t>
            </w:r>
          </w:p>
        </w:tc>
        <w:tc>
          <w:tcPr>
            <w:tcW w:w="1580"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100,1</w:t>
            </w:r>
          </w:p>
        </w:tc>
        <w:tc>
          <w:tcPr>
            <w:tcW w:w="126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100,4</w:t>
            </w:r>
          </w:p>
        </w:tc>
        <w:tc>
          <w:tcPr>
            <w:tcW w:w="1463"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100,2</w:t>
            </w:r>
          </w:p>
        </w:tc>
        <w:tc>
          <w:tcPr>
            <w:tcW w:w="126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100,6</w:t>
            </w:r>
          </w:p>
        </w:tc>
      </w:tr>
      <w:tr w:rsidR="004F0F0B">
        <w:trPr>
          <w:trHeight w:val="360"/>
          <w:jc w:val="center"/>
        </w:trPr>
        <w:tc>
          <w:tcPr>
            <w:tcW w:w="6292" w:type="dxa"/>
            <w:tcBorders>
              <w:top w:val="none" w:sz="4" w:space="0" w:color="000000"/>
              <w:left w:val="single" w:sz="4" w:space="0" w:color="auto"/>
              <w:bottom w:val="single" w:sz="4" w:space="0" w:color="auto"/>
              <w:right w:val="single" w:sz="4" w:space="0" w:color="auto"/>
            </w:tcBorders>
            <w:shd w:val="clear" w:color="auto" w:fill="auto"/>
            <w:vAlign w:val="center"/>
          </w:tcPr>
          <w:p w:rsidR="004F0F0B" w:rsidRDefault="000535AB">
            <w:pPr>
              <w:rPr>
                <w:color w:val="000000"/>
                <w:sz w:val="24"/>
                <w:szCs w:val="24"/>
              </w:rPr>
            </w:pPr>
            <w:r>
              <w:rPr>
                <w:color w:val="000000"/>
                <w:sz w:val="24"/>
                <w:szCs w:val="24"/>
              </w:rPr>
              <w:lastRenderedPageBreak/>
              <w:t>Объем продукции сельского хозяйства в % к предыдущему году в действующих ценах</w:t>
            </w:r>
          </w:p>
        </w:tc>
        <w:tc>
          <w:tcPr>
            <w:tcW w:w="154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rPr>
                <w:color w:val="000000"/>
                <w:sz w:val="24"/>
                <w:szCs w:val="24"/>
              </w:rPr>
            </w:pPr>
            <w:r>
              <w:rPr>
                <w:color w:val="000000"/>
                <w:sz w:val="24"/>
                <w:szCs w:val="24"/>
              </w:rPr>
              <w:t>104,6</w:t>
            </w:r>
          </w:p>
        </w:tc>
        <w:tc>
          <w:tcPr>
            <w:tcW w:w="1364"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rPr>
                <w:color w:val="000000"/>
                <w:sz w:val="24"/>
                <w:szCs w:val="24"/>
              </w:rPr>
            </w:pPr>
            <w:r>
              <w:rPr>
                <w:color w:val="000000"/>
                <w:sz w:val="24"/>
                <w:szCs w:val="24"/>
              </w:rPr>
              <w:t>105,5</w:t>
            </w:r>
          </w:p>
        </w:tc>
        <w:tc>
          <w:tcPr>
            <w:tcW w:w="1580"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rPr>
                <w:color w:val="000000"/>
                <w:sz w:val="24"/>
                <w:szCs w:val="24"/>
              </w:rPr>
            </w:pPr>
            <w:r>
              <w:rPr>
                <w:color w:val="000000"/>
                <w:sz w:val="24"/>
                <w:szCs w:val="24"/>
              </w:rPr>
              <w:t>104,8</w:t>
            </w:r>
          </w:p>
        </w:tc>
        <w:tc>
          <w:tcPr>
            <w:tcW w:w="126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rPr>
                <w:color w:val="000000"/>
                <w:sz w:val="24"/>
                <w:szCs w:val="24"/>
              </w:rPr>
            </w:pPr>
            <w:r>
              <w:rPr>
                <w:color w:val="000000"/>
                <w:sz w:val="24"/>
                <w:szCs w:val="24"/>
              </w:rPr>
              <w:t>105,7</w:t>
            </w:r>
          </w:p>
        </w:tc>
        <w:tc>
          <w:tcPr>
            <w:tcW w:w="1463"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rPr>
                <w:color w:val="000000"/>
                <w:sz w:val="24"/>
                <w:szCs w:val="24"/>
              </w:rPr>
            </w:pPr>
            <w:r>
              <w:rPr>
                <w:color w:val="000000"/>
                <w:sz w:val="24"/>
                <w:szCs w:val="24"/>
              </w:rPr>
              <w:t>105,2</w:t>
            </w:r>
          </w:p>
        </w:tc>
        <w:tc>
          <w:tcPr>
            <w:tcW w:w="126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rPr>
                <w:color w:val="000000"/>
                <w:sz w:val="24"/>
                <w:szCs w:val="24"/>
              </w:rPr>
            </w:pPr>
            <w:r>
              <w:rPr>
                <w:color w:val="000000"/>
                <w:sz w:val="24"/>
                <w:szCs w:val="24"/>
              </w:rPr>
              <w:t>105,6</w:t>
            </w:r>
          </w:p>
        </w:tc>
      </w:tr>
      <w:tr w:rsidR="004F0F0B">
        <w:trPr>
          <w:trHeight w:val="360"/>
          <w:jc w:val="center"/>
        </w:trPr>
        <w:tc>
          <w:tcPr>
            <w:tcW w:w="6292" w:type="dxa"/>
            <w:tcBorders>
              <w:top w:val="none" w:sz="4" w:space="0" w:color="000000"/>
              <w:left w:val="single" w:sz="4" w:space="0" w:color="auto"/>
              <w:bottom w:val="single" w:sz="4" w:space="0" w:color="auto"/>
              <w:right w:val="single" w:sz="4" w:space="0" w:color="auto"/>
            </w:tcBorders>
            <w:shd w:val="clear" w:color="auto" w:fill="auto"/>
            <w:vAlign w:val="center"/>
          </w:tcPr>
          <w:p w:rsidR="004F0F0B" w:rsidRDefault="000535AB">
            <w:pPr>
              <w:rPr>
                <w:b/>
                <w:bCs/>
                <w:color w:val="000000"/>
                <w:sz w:val="24"/>
                <w:szCs w:val="24"/>
              </w:rPr>
            </w:pPr>
            <w:r>
              <w:rPr>
                <w:b/>
                <w:bCs/>
                <w:color w:val="000000"/>
                <w:sz w:val="24"/>
                <w:szCs w:val="24"/>
              </w:rPr>
              <w:t>Объем платных услуг населению</w:t>
            </w:r>
          </w:p>
        </w:tc>
        <w:tc>
          <w:tcPr>
            <w:tcW w:w="154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rPr>
                <w:color w:val="000000"/>
                <w:sz w:val="24"/>
                <w:szCs w:val="24"/>
              </w:rPr>
            </w:pPr>
            <w:r>
              <w:rPr>
                <w:color w:val="000000"/>
                <w:sz w:val="24"/>
                <w:szCs w:val="24"/>
              </w:rPr>
              <w:t> </w:t>
            </w:r>
          </w:p>
        </w:tc>
        <w:tc>
          <w:tcPr>
            <w:tcW w:w="1364"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rPr>
                <w:color w:val="000000"/>
                <w:sz w:val="24"/>
                <w:szCs w:val="24"/>
              </w:rPr>
            </w:pPr>
            <w:r>
              <w:rPr>
                <w:color w:val="000000"/>
                <w:sz w:val="24"/>
                <w:szCs w:val="24"/>
              </w:rPr>
              <w:t> </w:t>
            </w:r>
          </w:p>
        </w:tc>
        <w:tc>
          <w:tcPr>
            <w:tcW w:w="1580"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rPr>
                <w:color w:val="000000"/>
                <w:sz w:val="24"/>
                <w:szCs w:val="24"/>
              </w:rPr>
            </w:pPr>
            <w:r>
              <w:rPr>
                <w:color w:val="000000"/>
                <w:sz w:val="24"/>
                <w:szCs w:val="24"/>
              </w:rPr>
              <w:t> </w:t>
            </w:r>
          </w:p>
        </w:tc>
        <w:tc>
          <w:tcPr>
            <w:tcW w:w="1269" w:type="dxa"/>
            <w:tcBorders>
              <w:top w:val="none" w:sz="4" w:space="0" w:color="000000"/>
              <w:left w:val="none" w:sz="4" w:space="0" w:color="000000"/>
              <w:bottom w:val="single" w:sz="4" w:space="0" w:color="auto"/>
              <w:right w:val="single" w:sz="4" w:space="0" w:color="auto"/>
            </w:tcBorders>
            <w:shd w:val="clear" w:color="auto" w:fill="FFFFFF" w:themeFill="background1"/>
            <w:noWrap/>
            <w:vAlign w:val="center"/>
          </w:tcPr>
          <w:p w:rsidR="004F0F0B" w:rsidRDefault="000535AB">
            <w:pPr>
              <w:jc w:val="center"/>
              <w:rPr>
                <w:sz w:val="24"/>
                <w:szCs w:val="24"/>
              </w:rPr>
            </w:pPr>
            <w:r>
              <w:rPr>
                <w:sz w:val="24"/>
                <w:szCs w:val="24"/>
              </w:rPr>
              <w:t> </w:t>
            </w:r>
          </w:p>
        </w:tc>
        <w:tc>
          <w:tcPr>
            <w:tcW w:w="1463" w:type="dxa"/>
            <w:tcBorders>
              <w:top w:val="none" w:sz="4" w:space="0" w:color="000000"/>
              <w:left w:val="none" w:sz="4" w:space="0" w:color="000000"/>
              <w:bottom w:val="single" w:sz="4" w:space="0" w:color="auto"/>
              <w:right w:val="single" w:sz="4" w:space="0" w:color="auto"/>
            </w:tcBorders>
            <w:shd w:val="clear" w:color="auto" w:fill="FFFFFF" w:themeFill="background1"/>
            <w:noWrap/>
            <w:vAlign w:val="center"/>
          </w:tcPr>
          <w:p w:rsidR="004F0F0B" w:rsidRDefault="000535AB">
            <w:pPr>
              <w:jc w:val="center"/>
              <w:rPr>
                <w:sz w:val="24"/>
                <w:szCs w:val="24"/>
              </w:rPr>
            </w:pPr>
            <w:r>
              <w:rPr>
                <w:sz w:val="24"/>
                <w:szCs w:val="24"/>
              </w:rPr>
              <w:t> </w:t>
            </w:r>
          </w:p>
        </w:tc>
        <w:tc>
          <w:tcPr>
            <w:tcW w:w="1269" w:type="dxa"/>
            <w:tcBorders>
              <w:top w:val="none" w:sz="4" w:space="0" w:color="000000"/>
              <w:left w:val="none" w:sz="4" w:space="0" w:color="000000"/>
              <w:bottom w:val="single" w:sz="4" w:space="0" w:color="auto"/>
              <w:right w:val="single" w:sz="4" w:space="0" w:color="auto"/>
            </w:tcBorders>
            <w:shd w:val="clear" w:color="auto" w:fill="FFFFFF" w:themeFill="background1"/>
            <w:noWrap/>
            <w:vAlign w:val="center"/>
          </w:tcPr>
          <w:p w:rsidR="004F0F0B" w:rsidRDefault="000535AB">
            <w:pPr>
              <w:jc w:val="center"/>
              <w:rPr>
                <w:sz w:val="24"/>
                <w:szCs w:val="24"/>
              </w:rPr>
            </w:pPr>
            <w:r>
              <w:rPr>
                <w:sz w:val="24"/>
                <w:szCs w:val="24"/>
              </w:rPr>
              <w:t> </w:t>
            </w:r>
          </w:p>
        </w:tc>
      </w:tr>
      <w:tr w:rsidR="004F0F0B">
        <w:trPr>
          <w:trHeight w:val="360"/>
          <w:jc w:val="center"/>
        </w:trPr>
        <w:tc>
          <w:tcPr>
            <w:tcW w:w="6292" w:type="dxa"/>
            <w:tcBorders>
              <w:top w:val="none" w:sz="4" w:space="0" w:color="000000"/>
              <w:left w:val="single" w:sz="4" w:space="0" w:color="auto"/>
              <w:bottom w:val="single" w:sz="4" w:space="0" w:color="auto"/>
              <w:right w:val="single" w:sz="4" w:space="0" w:color="auto"/>
            </w:tcBorders>
            <w:shd w:val="clear" w:color="auto" w:fill="auto"/>
            <w:vAlign w:val="center"/>
          </w:tcPr>
          <w:p w:rsidR="004F0F0B" w:rsidRDefault="000535AB">
            <w:pPr>
              <w:rPr>
                <w:color w:val="000000"/>
                <w:sz w:val="24"/>
                <w:szCs w:val="24"/>
              </w:rPr>
            </w:pPr>
            <w:r>
              <w:rPr>
                <w:color w:val="000000"/>
                <w:sz w:val="24"/>
                <w:szCs w:val="24"/>
              </w:rPr>
              <w:t>Индекс-дефлятор по платным услугам, в % к предыдущему году</w:t>
            </w:r>
          </w:p>
        </w:tc>
        <w:tc>
          <w:tcPr>
            <w:tcW w:w="154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105,2</w:t>
            </w:r>
          </w:p>
        </w:tc>
        <w:tc>
          <w:tcPr>
            <w:tcW w:w="1364"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105,2</w:t>
            </w:r>
          </w:p>
        </w:tc>
        <w:tc>
          <w:tcPr>
            <w:tcW w:w="1580"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104,7</w:t>
            </w:r>
          </w:p>
        </w:tc>
        <w:tc>
          <w:tcPr>
            <w:tcW w:w="126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104,7</w:t>
            </w:r>
          </w:p>
        </w:tc>
        <w:tc>
          <w:tcPr>
            <w:tcW w:w="1463"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104,1</w:t>
            </w:r>
          </w:p>
        </w:tc>
        <w:tc>
          <w:tcPr>
            <w:tcW w:w="126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104,1</w:t>
            </w:r>
          </w:p>
        </w:tc>
      </w:tr>
      <w:tr w:rsidR="004F0F0B">
        <w:trPr>
          <w:trHeight w:val="630"/>
          <w:jc w:val="center"/>
        </w:trPr>
        <w:tc>
          <w:tcPr>
            <w:tcW w:w="6292" w:type="dxa"/>
            <w:tcBorders>
              <w:top w:val="none" w:sz="4" w:space="0" w:color="000000"/>
              <w:left w:val="single" w:sz="4" w:space="0" w:color="auto"/>
              <w:bottom w:val="single" w:sz="4" w:space="0" w:color="auto"/>
              <w:right w:val="single" w:sz="4" w:space="0" w:color="auto"/>
            </w:tcBorders>
            <w:shd w:val="clear" w:color="auto" w:fill="auto"/>
            <w:vAlign w:val="center"/>
          </w:tcPr>
          <w:p w:rsidR="004F0F0B" w:rsidRDefault="000535AB">
            <w:pPr>
              <w:rPr>
                <w:color w:val="000000"/>
                <w:sz w:val="24"/>
                <w:szCs w:val="24"/>
              </w:rPr>
            </w:pPr>
            <w:r>
              <w:rPr>
                <w:color w:val="000000"/>
                <w:sz w:val="24"/>
                <w:szCs w:val="24"/>
              </w:rPr>
              <w:t>Индекс физического объема платных услуг, в % к предыдущему году в сопоставимых ценах</w:t>
            </w:r>
          </w:p>
        </w:tc>
        <w:tc>
          <w:tcPr>
            <w:tcW w:w="154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101,7</w:t>
            </w:r>
          </w:p>
        </w:tc>
        <w:tc>
          <w:tcPr>
            <w:tcW w:w="1364"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102,1</w:t>
            </w:r>
          </w:p>
        </w:tc>
        <w:tc>
          <w:tcPr>
            <w:tcW w:w="1580"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102,0</w:t>
            </w:r>
          </w:p>
        </w:tc>
        <w:tc>
          <w:tcPr>
            <w:tcW w:w="126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102,4</w:t>
            </w:r>
          </w:p>
        </w:tc>
        <w:tc>
          <w:tcPr>
            <w:tcW w:w="1463"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102,3</w:t>
            </w:r>
          </w:p>
        </w:tc>
        <w:tc>
          <w:tcPr>
            <w:tcW w:w="126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102,7</w:t>
            </w:r>
          </w:p>
        </w:tc>
      </w:tr>
      <w:tr w:rsidR="004F0F0B">
        <w:trPr>
          <w:trHeight w:val="360"/>
          <w:jc w:val="center"/>
        </w:trPr>
        <w:tc>
          <w:tcPr>
            <w:tcW w:w="6292" w:type="dxa"/>
            <w:tcBorders>
              <w:top w:val="none" w:sz="4" w:space="0" w:color="000000"/>
              <w:left w:val="single" w:sz="4" w:space="0" w:color="auto"/>
              <w:bottom w:val="single" w:sz="4" w:space="0" w:color="auto"/>
              <w:right w:val="single" w:sz="4" w:space="0" w:color="auto"/>
            </w:tcBorders>
            <w:shd w:val="clear" w:color="auto" w:fill="auto"/>
            <w:vAlign w:val="center"/>
          </w:tcPr>
          <w:p w:rsidR="004F0F0B" w:rsidRDefault="000535AB">
            <w:pPr>
              <w:rPr>
                <w:color w:val="000000"/>
                <w:sz w:val="24"/>
                <w:szCs w:val="24"/>
              </w:rPr>
            </w:pPr>
            <w:r>
              <w:rPr>
                <w:color w:val="000000"/>
                <w:sz w:val="24"/>
                <w:szCs w:val="24"/>
              </w:rPr>
              <w:t>Объем платных услуг в % к предыдущему году в действующих ценах</w:t>
            </w:r>
          </w:p>
        </w:tc>
        <w:tc>
          <w:tcPr>
            <w:tcW w:w="154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107,0</w:t>
            </w:r>
          </w:p>
        </w:tc>
        <w:tc>
          <w:tcPr>
            <w:tcW w:w="1364"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107,4</w:t>
            </w:r>
          </w:p>
        </w:tc>
        <w:tc>
          <w:tcPr>
            <w:tcW w:w="1580"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106,8</w:t>
            </w:r>
          </w:p>
        </w:tc>
        <w:tc>
          <w:tcPr>
            <w:tcW w:w="126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107,2</w:t>
            </w:r>
          </w:p>
        </w:tc>
        <w:tc>
          <w:tcPr>
            <w:tcW w:w="1463"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106,5</w:t>
            </w:r>
          </w:p>
        </w:tc>
        <w:tc>
          <w:tcPr>
            <w:tcW w:w="126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106,9</w:t>
            </w:r>
          </w:p>
        </w:tc>
      </w:tr>
      <w:tr w:rsidR="004F0F0B">
        <w:trPr>
          <w:trHeight w:val="360"/>
          <w:jc w:val="center"/>
        </w:trPr>
        <w:tc>
          <w:tcPr>
            <w:tcW w:w="6292" w:type="dxa"/>
            <w:tcBorders>
              <w:top w:val="none" w:sz="4" w:space="0" w:color="000000"/>
              <w:left w:val="single" w:sz="4" w:space="0" w:color="auto"/>
              <w:bottom w:val="single" w:sz="4" w:space="0" w:color="auto"/>
              <w:right w:val="single" w:sz="4" w:space="0" w:color="auto"/>
            </w:tcBorders>
            <w:shd w:val="clear" w:color="auto" w:fill="auto"/>
            <w:vAlign w:val="center"/>
          </w:tcPr>
          <w:p w:rsidR="004F0F0B" w:rsidRDefault="000535AB">
            <w:pPr>
              <w:rPr>
                <w:b/>
                <w:bCs/>
                <w:color w:val="000000"/>
                <w:sz w:val="24"/>
                <w:szCs w:val="24"/>
              </w:rPr>
            </w:pPr>
            <w:r>
              <w:rPr>
                <w:b/>
                <w:bCs/>
                <w:color w:val="000000"/>
                <w:sz w:val="24"/>
                <w:szCs w:val="24"/>
              </w:rPr>
              <w:t>Индекс потребительских цен, декабрь к декабрю предыдущего года в %</w:t>
            </w:r>
          </w:p>
        </w:tc>
        <w:tc>
          <w:tcPr>
            <w:tcW w:w="154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rPr>
                <w:b/>
                <w:bCs/>
                <w:color w:val="000000"/>
                <w:sz w:val="24"/>
                <w:szCs w:val="24"/>
              </w:rPr>
            </w:pPr>
            <w:r>
              <w:rPr>
                <w:b/>
                <w:bCs/>
                <w:color w:val="000000"/>
                <w:sz w:val="24"/>
                <w:szCs w:val="24"/>
              </w:rPr>
              <w:t>106,0</w:t>
            </w:r>
          </w:p>
        </w:tc>
        <w:tc>
          <w:tcPr>
            <w:tcW w:w="1364"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rPr>
                <w:b/>
                <w:bCs/>
                <w:color w:val="000000"/>
                <w:sz w:val="24"/>
                <w:szCs w:val="24"/>
              </w:rPr>
            </w:pPr>
            <w:r>
              <w:rPr>
                <w:b/>
                <w:bCs/>
                <w:color w:val="000000"/>
                <w:sz w:val="24"/>
                <w:szCs w:val="24"/>
              </w:rPr>
              <w:t>105,5</w:t>
            </w:r>
          </w:p>
        </w:tc>
        <w:tc>
          <w:tcPr>
            <w:tcW w:w="1580"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rPr>
                <w:b/>
                <w:bCs/>
                <w:color w:val="000000"/>
                <w:sz w:val="24"/>
                <w:szCs w:val="24"/>
              </w:rPr>
            </w:pPr>
            <w:r>
              <w:rPr>
                <w:b/>
                <w:bCs/>
                <w:color w:val="000000"/>
                <w:sz w:val="24"/>
                <w:szCs w:val="24"/>
              </w:rPr>
              <w:t>104,0</w:t>
            </w:r>
          </w:p>
        </w:tc>
        <w:tc>
          <w:tcPr>
            <w:tcW w:w="126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rPr>
                <w:b/>
                <w:bCs/>
                <w:color w:val="000000"/>
                <w:sz w:val="24"/>
                <w:szCs w:val="24"/>
              </w:rPr>
            </w:pPr>
            <w:r>
              <w:rPr>
                <w:b/>
                <w:bCs/>
                <w:color w:val="000000"/>
                <w:sz w:val="24"/>
                <w:szCs w:val="24"/>
              </w:rPr>
              <w:t>104,0</w:t>
            </w:r>
          </w:p>
        </w:tc>
        <w:tc>
          <w:tcPr>
            <w:tcW w:w="1463"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rPr>
                <w:b/>
                <w:bCs/>
                <w:color w:val="000000"/>
                <w:sz w:val="24"/>
                <w:szCs w:val="24"/>
              </w:rPr>
            </w:pPr>
            <w:r>
              <w:rPr>
                <w:b/>
                <w:bCs/>
                <w:color w:val="000000"/>
                <w:sz w:val="24"/>
                <w:szCs w:val="24"/>
              </w:rPr>
              <w:t>104,0</w:t>
            </w:r>
          </w:p>
        </w:tc>
        <w:tc>
          <w:tcPr>
            <w:tcW w:w="126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rPr>
                <w:b/>
                <w:bCs/>
                <w:color w:val="000000"/>
                <w:sz w:val="24"/>
                <w:szCs w:val="24"/>
              </w:rPr>
            </w:pPr>
            <w:r>
              <w:rPr>
                <w:b/>
                <w:bCs/>
                <w:color w:val="000000"/>
                <w:sz w:val="24"/>
                <w:szCs w:val="24"/>
              </w:rPr>
              <w:t>104,0</w:t>
            </w:r>
          </w:p>
        </w:tc>
      </w:tr>
      <w:tr w:rsidR="004F0F0B">
        <w:trPr>
          <w:trHeight w:val="360"/>
          <w:jc w:val="center"/>
        </w:trPr>
        <w:tc>
          <w:tcPr>
            <w:tcW w:w="6292" w:type="dxa"/>
            <w:tcBorders>
              <w:top w:val="none" w:sz="4" w:space="0" w:color="000000"/>
              <w:left w:val="single" w:sz="4" w:space="0" w:color="auto"/>
              <w:bottom w:val="single" w:sz="4" w:space="0" w:color="auto"/>
              <w:right w:val="single" w:sz="4" w:space="0" w:color="auto"/>
            </w:tcBorders>
            <w:shd w:val="clear" w:color="auto" w:fill="auto"/>
            <w:vAlign w:val="center"/>
          </w:tcPr>
          <w:p w:rsidR="004F0F0B" w:rsidRDefault="000535AB">
            <w:pPr>
              <w:rPr>
                <w:b/>
                <w:bCs/>
                <w:color w:val="000000"/>
                <w:sz w:val="24"/>
                <w:szCs w:val="24"/>
              </w:rPr>
            </w:pPr>
            <w:r>
              <w:rPr>
                <w:b/>
                <w:bCs/>
                <w:color w:val="000000"/>
                <w:sz w:val="24"/>
                <w:szCs w:val="24"/>
              </w:rPr>
              <w:t>Индекс потребительских цен, в среднем за год, в % к предыдущему году</w:t>
            </w:r>
          </w:p>
        </w:tc>
        <w:tc>
          <w:tcPr>
            <w:tcW w:w="154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rPr>
                <w:b/>
                <w:bCs/>
                <w:color w:val="000000"/>
                <w:sz w:val="24"/>
                <w:szCs w:val="24"/>
              </w:rPr>
            </w:pPr>
            <w:r>
              <w:rPr>
                <w:b/>
                <w:bCs/>
                <w:color w:val="000000"/>
                <w:sz w:val="24"/>
                <w:szCs w:val="24"/>
              </w:rPr>
              <w:t>106,0</w:t>
            </w:r>
          </w:p>
        </w:tc>
        <w:tc>
          <w:tcPr>
            <w:tcW w:w="1364"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rPr>
                <w:b/>
                <w:bCs/>
                <w:color w:val="000000"/>
                <w:sz w:val="24"/>
                <w:szCs w:val="24"/>
              </w:rPr>
            </w:pPr>
            <w:r>
              <w:rPr>
                <w:b/>
                <w:bCs/>
                <w:color w:val="000000"/>
                <w:sz w:val="24"/>
                <w:szCs w:val="24"/>
              </w:rPr>
              <w:t>105,7</w:t>
            </w:r>
          </w:p>
        </w:tc>
        <w:tc>
          <w:tcPr>
            <w:tcW w:w="1580"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rPr>
                <w:b/>
                <w:bCs/>
                <w:color w:val="000000"/>
                <w:sz w:val="24"/>
                <w:szCs w:val="24"/>
              </w:rPr>
            </w:pPr>
            <w:r>
              <w:rPr>
                <w:b/>
                <w:bCs/>
                <w:color w:val="000000"/>
                <w:sz w:val="24"/>
                <w:szCs w:val="24"/>
              </w:rPr>
              <w:t>104,9</w:t>
            </w:r>
          </w:p>
        </w:tc>
        <w:tc>
          <w:tcPr>
            <w:tcW w:w="126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rPr>
                <w:b/>
                <w:bCs/>
                <w:color w:val="000000"/>
                <w:sz w:val="24"/>
                <w:szCs w:val="24"/>
              </w:rPr>
            </w:pPr>
            <w:r>
              <w:rPr>
                <w:b/>
                <w:bCs/>
                <w:color w:val="000000"/>
                <w:sz w:val="24"/>
                <w:szCs w:val="24"/>
              </w:rPr>
              <w:t>104,7</w:t>
            </w:r>
          </w:p>
        </w:tc>
        <w:tc>
          <w:tcPr>
            <w:tcW w:w="1463"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rPr>
                <w:b/>
                <w:bCs/>
                <w:color w:val="000000"/>
                <w:sz w:val="24"/>
                <w:szCs w:val="24"/>
              </w:rPr>
            </w:pPr>
            <w:r>
              <w:rPr>
                <w:b/>
                <w:bCs/>
                <w:color w:val="000000"/>
                <w:sz w:val="24"/>
                <w:szCs w:val="24"/>
              </w:rPr>
              <w:t>104,0</w:t>
            </w:r>
          </w:p>
        </w:tc>
        <w:tc>
          <w:tcPr>
            <w:tcW w:w="126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rPr>
                <w:b/>
                <w:bCs/>
                <w:color w:val="000000"/>
                <w:sz w:val="24"/>
                <w:szCs w:val="24"/>
              </w:rPr>
            </w:pPr>
            <w:r>
              <w:rPr>
                <w:b/>
                <w:bCs/>
                <w:color w:val="000000"/>
                <w:sz w:val="24"/>
                <w:szCs w:val="24"/>
              </w:rPr>
              <w:t>104,0</w:t>
            </w:r>
          </w:p>
        </w:tc>
      </w:tr>
      <w:tr w:rsidR="004F0F0B">
        <w:trPr>
          <w:trHeight w:val="360"/>
          <w:jc w:val="center"/>
        </w:trPr>
        <w:tc>
          <w:tcPr>
            <w:tcW w:w="6292" w:type="dxa"/>
            <w:tcBorders>
              <w:top w:val="none" w:sz="4" w:space="0" w:color="000000"/>
              <w:left w:val="single" w:sz="4" w:space="0" w:color="auto"/>
              <w:bottom w:val="single" w:sz="4" w:space="0" w:color="auto"/>
              <w:right w:val="single" w:sz="4" w:space="0" w:color="auto"/>
            </w:tcBorders>
            <w:shd w:val="clear" w:color="auto" w:fill="auto"/>
            <w:vAlign w:val="center"/>
          </w:tcPr>
          <w:p w:rsidR="004F0F0B" w:rsidRDefault="000535AB">
            <w:pPr>
              <w:rPr>
                <w:b/>
                <w:bCs/>
                <w:color w:val="000000"/>
                <w:sz w:val="24"/>
                <w:szCs w:val="24"/>
              </w:rPr>
            </w:pPr>
            <w:r>
              <w:rPr>
                <w:b/>
                <w:bCs/>
                <w:color w:val="000000"/>
                <w:sz w:val="24"/>
                <w:szCs w:val="24"/>
              </w:rPr>
              <w:t>Темп роста фонда заработной платы, в % к предыдущему году</w:t>
            </w:r>
          </w:p>
        </w:tc>
        <w:tc>
          <w:tcPr>
            <w:tcW w:w="154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rPr>
                <w:b/>
                <w:bCs/>
                <w:color w:val="000000"/>
                <w:sz w:val="24"/>
                <w:szCs w:val="24"/>
              </w:rPr>
            </w:pPr>
            <w:r>
              <w:rPr>
                <w:b/>
                <w:bCs/>
                <w:color w:val="000000"/>
                <w:sz w:val="24"/>
                <w:szCs w:val="24"/>
              </w:rPr>
              <w:t>108,2</w:t>
            </w:r>
          </w:p>
        </w:tc>
        <w:tc>
          <w:tcPr>
            <w:tcW w:w="1364"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rPr>
                <w:b/>
                <w:bCs/>
                <w:color w:val="000000"/>
                <w:sz w:val="24"/>
                <w:szCs w:val="24"/>
              </w:rPr>
            </w:pPr>
            <w:r>
              <w:rPr>
                <w:b/>
                <w:bCs/>
                <w:color w:val="000000"/>
                <w:sz w:val="24"/>
                <w:szCs w:val="24"/>
              </w:rPr>
              <w:t>109,4</w:t>
            </w:r>
          </w:p>
        </w:tc>
        <w:tc>
          <w:tcPr>
            <w:tcW w:w="1580"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rPr>
                <w:b/>
                <w:bCs/>
                <w:color w:val="000000"/>
                <w:sz w:val="24"/>
                <w:szCs w:val="24"/>
              </w:rPr>
            </w:pPr>
            <w:r>
              <w:rPr>
                <w:b/>
                <w:bCs/>
                <w:color w:val="000000"/>
                <w:sz w:val="24"/>
                <w:szCs w:val="24"/>
              </w:rPr>
              <w:t>107,2</w:t>
            </w:r>
          </w:p>
        </w:tc>
        <w:tc>
          <w:tcPr>
            <w:tcW w:w="126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rPr>
                <w:b/>
                <w:bCs/>
                <w:color w:val="000000"/>
                <w:sz w:val="24"/>
                <w:szCs w:val="24"/>
              </w:rPr>
            </w:pPr>
            <w:r>
              <w:rPr>
                <w:b/>
                <w:bCs/>
                <w:color w:val="000000"/>
                <w:sz w:val="24"/>
                <w:szCs w:val="24"/>
              </w:rPr>
              <w:t>108,3</w:t>
            </w:r>
          </w:p>
        </w:tc>
        <w:tc>
          <w:tcPr>
            <w:tcW w:w="1463"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rPr>
                <w:b/>
                <w:bCs/>
                <w:color w:val="000000"/>
                <w:sz w:val="24"/>
                <w:szCs w:val="24"/>
              </w:rPr>
            </w:pPr>
            <w:r>
              <w:rPr>
                <w:b/>
                <w:bCs/>
                <w:color w:val="000000"/>
                <w:sz w:val="24"/>
                <w:szCs w:val="24"/>
              </w:rPr>
              <w:t>106,2</w:t>
            </w:r>
          </w:p>
        </w:tc>
        <w:tc>
          <w:tcPr>
            <w:tcW w:w="126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rPr>
                <w:b/>
                <w:bCs/>
                <w:color w:val="000000"/>
                <w:sz w:val="24"/>
                <w:szCs w:val="24"/>
              </w:rPr>
            </w:pPr>
            <w:r>
              <w:rPr>
                <w:b/>
                <w:bCs/>
                <w:color w:val="000000"/>
                <w:sz w:val="24"/>
                <w:szCs w:val="24"/>
              </w:rPr>
              <w:t>107,4</w:t>
            </w:r>
          </w:p>
        </w:tc>
      </w:tr>
      <w:tr w:rsidR="004F0F0B">
        <w:trPr>
          <w:trHeight w:val="360"/>
          <w:jc w:val="center"/>
        </w:trPr>
        <w:tc>
          <w:tcPr>
            <w:tcW w:w="6292" w:type="dxa"/>
            <w:tcBorders>
              <w:top w:val="none" w:sz="4" w:space="0" w:color="000000"/>
              <w:left w:val="single" w:sz="4" w:space="0" w:color="auto"/>
              <w:bottom w:val="single" w:sz="4" w:space="0" w:color="auto"/>
              <w:right w:val="single" w:sz="4" w:space="0" w:color="auto"/>
            </w:tcBorders>
            <w:shd w:val="clear" w:color="auto" w:fill="auto"/>
            <w:vAlign w:val="center"/>
          </w:tcPr>
          <w:p w:rsidR="004F0F0B" w:rsidRDefault="000535AB">
            <w:pPr>
              <w:rPr>
                <w:b/>
                <w:bCs/>
                <w:color w:val="000000"/>
                <w:sz w:val="24"/>
                <w:szCs w:val="24"/>
              </w:rPr>
            </w:pPr>
            <w:r>
              <w:rPr>
                <w:b/>
                <w:bCs/>
                <w:color w:val="000000"/>
                <w:sz w:val="24"/>
                <w:szCs w:val="24"/>
              </w:rPr>
              <w:t>Темп роста амортизационных отчислений, в % к предыдущему году</w:t>
            </w:r>
          </w:p>
        </w:tc>
        <w:tc>
          <w:tcPr>
            <w:tcW w:w="154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rPr>
                <w:b/>
                <w:bCs/>
                <w:color w:val="000000"/>
                <w:sz w:val="24"/>
                <w:szCs w:val="24"/>
              </w:rPr>
            </w:pPr>
            <w:r>
              <w:rPr>
                <w:b/>
                <w:bCs/>
                <w:color w:val="000000"/>
                <w:sz w:val="24"/>
                <w:szCs w:val="24"/>
              </w:rPr>
              <w:t>110,0</w:t>
            </w:r>
          </w:p>
        </w:tc>
        <w:tc>
          <w:tcPr>
            <w:tcW w:w="1364"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rPr>
                <w:b/>
                <w:bCs/>
                <w:color w:val="000000"/>
                <w:sz w:val="24"/>
                <w:szCs w:val="24"/>
              </w:rPr>
            </w:pPr>
            <w:r>
              <w:rPr>
                <w:b/>
                <w:bCs/>
                <w:color w:val="000000"/>
                <w:sz w:val="24"/>
                <w:szCs w:val="24"/>
              </w:rPr>
              <w:t>110,2</w:t>
            </w:r>
          </w:p>
        </w:tc>
        <w:tc>
          <w:tcPr>
            <w:tcW w:w="1580"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rPr>
                <w:b/>
                <w:bCs/>
                <w:color w:val="000000"/>
                <w:sz w:val="24"/>
                <w:szCs w:val="24"/>
              </w:rPr>
            </w:pPr>
            <w:r>
              <w:rPr>
                <w:b/>
                <w:bCs/>
                <w:color w:val="000000"/>
                <w:sz w:val="24"/>
                <w:szCs w:val="24"/>
              </w:rPr>
              <w:t>109,5</w:t>
            </w:r>
          </w:p>
        </w:tc>
        <w:tc>
          <w:tcPr>
            <w:tcW w:w="126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rPr>
                <w:b/>
                <w:bCs/>
                <w:color w:val="000000"/>
                <w:sz w:val="24"/>
                <w:szCs w:val="24"/>
              </w:rPr>
            </w:pPr>
            <w:r>
              <w:rPr>
                <w:b/>
                <w:bCs/>
                <w:color w:val="000000"/>
                <w:sz w:val="24"/>
                <w:szCs w:val="24"/>
              </w:rPr>
              <w:t>109,8</w:t>
            </w:r>
          </w:p>
        </w:tc>
        <w:tc>
          <w:tcPr>
            <w:tcW w:w="1463"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rPr>
                <w:b/>
                <w:bCs/>
                <w:color w:val="000000"/>
                <w:sz w:val="24"/>
                <w:szCs w:val="24"/>
              </w:rPr>
            </w:pPr>
            <w:r>
              <w:rPr>
                <w:b/>
                <w:bCs/>
                <w:color w:val="000000"/>
                <w:sz w:val="24"/>
                <w:szCs w:val="24"/>
              </w:rPr>
              <w:t>109,0</w:t>
            </w:r>
          </w:p>
        </w:tc>
        <w:tc>
          <w:tcPr>
            <w:tcW w:w="126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rPr>
                <w:b/>
                <w:bCs/>
                <w:color w:val="000000"/>
                <w:sz w:val="24"/>
                <w:szCs w:val="24"/>
              </w:rPr>
            </w:pPr>
            <w:r>
              <w:rPr>
                <w:b/>
                <w:bCs/>
                <w:color w:val="000000"/>
                <w:sz w:val="24"/>
                <w:szCs w:val="24"/>
              </w:rPr>
              <w:t>109,3</w:t>
            </w:r>
          </w:p>
        </w:tc>
      </w:tr>
      <w:tr w:rsidR="004F0F0B">
        <w:trPr>
          <w:trHeight w:val="360"/>
          <w:jc w:val="center"/>
        </w:trPr>
        <w:tc>
          <w:tcPr>
            <w:tcW w:w="6292" w:type="dxa"/>
            <w:tcBorders>
              <w:top w:val="none" w:sz="4" w:space="0" w:color="000000"/>
              <w:left w:val="single" w:sz="4" w:space="0" w:color="auto"/>
              <w:bottom w:val="single" w:sz="4" w:space="0" w:color="auto"/>
              <w:right w:val="single" w:sz="4" w:space="0" w:color="auto"/>
            </w:tcBorders>
            <w:shd w:val="clear" w:color="auto" w:fill="auto"/>
            <w:vAlign w:val="center"/>
          </w:tcPr>
          <w:p w:rsidR="004F0F0B" w:rsidRDefault="000535AB">
            <w:pPr>
              <w:rPr>
                <w:b/>
                <w:bCs/>
                <w:color w:val="000000"/>
                <w:sz w:val="24"/>
                <w:szCs w:val="24"/>
              </w:rPr>
            </w:pPr>
            <w:r>
              <w:rPr>
                <w:b/>
                <w:bCs/>
                <w:color w:val="000000"/>
                <w:sz w:val="24"/>
                <w:szCs w:val="24"/>
              </w:rPr>
              <w:t>Темп роста прибыли прибыльных организаций, в % к предыдущему году</w:t>
            </w:r>
          </w:p>
        </w:tc>
        <w:tc>
          <w:tcPr>
            <w:tcW w:w="154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rPr>
                <w:b/>
                <w:bCs/>
                <w:color w:val="000000"/>
                <w:sz w:val="24"/>
                <w:szCs w:val="24"/>
              </w:rPr>
            </w:pPr>
            <w:r>
              <w:rPr>
                <w:b/>
                <w:bCs/>
                <w:color w:val="000000"/>
                <w:sz w:val="24"/>
                <w:szCs w:val="24"/>
              </w:rPr>
              <w:t>106,1</w:t>
            </w:r>
          </w:p>
        </w:tc>
        <w:tc>
          <w:tcPr>
            <w:tcW w:w="1364"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rPr>
                <w:b/>
                <w:bCs/>
                <w:color w:val="000000"/>
                <w:sz w:val="24"/>
                <w:szCs w:val="24"/>
              </w:rPr>
            </w:pPr>
            <w:r>
              <w:rPr>
                <w:b/>
                <w:bCs/>
                <w:color w:val="000000"/>
                <w:sz w:val="24"/>
                <w:szCs w:val="24"/>
              </w:rPr>
              <w:t>106,2</w:t>
            </w:r>
          </w:p>
        </w:tc>
        <w:tc>
          <w:tcPr>
            <w:tcW w:w="1580"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rPr>
                <w:b/>
                <w:bCs/>
                <w:color w:val="000000"/>
                <w:sz w:val="24"/>
                <w:szCs w:val="24"/>
              </w:rPr>
            </w:pPr>
            <w:r>
              <w:rPr>
                <w:b/>
                <w:bCs/>
                <w:color w:val="000000"/>
                <w:sz w:val="24"/>
                <w:szCs w:val="24"/>
              </w:rPr>
              <w:t>109,8</w:t>
            </w:r>
          </w:p>
        </w:tc>
        <w:tc>
          <w:tcPr>
            <w:tcW w:w="126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rPr>
                <w:b/>
                <w:bCs/>
                <w:color w:val="000000"/>
                <w:sz w:val="24"/>
                <w:szCs w:val="24"/>
              </w:rPr>
            </w:pPr>
            <w:r>
              <w:rPr>
                <w:b/>
                <w:bCs/>
                <w:color w:val="000000"/>
                <w:sz w:val="24"/>
                <w:szCs w:val="24"/>
              </w:rPr>
              <w:t>111,4</w:t>
            </w:r>
          </w:p>
        </w:tc>
        <w:tc>
          <w:tcPr>
            <w:tcW w:w="1463"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rPr>
                <w:b/>
                <w:bCs/>
                <w:color w:val="000000"/>
                <w:sz w:val="24"/>
                <w:szCs w:val="24"/>
              </w:rPr>
            </w:pPr>
            <w:r>
              <w:rPr>
                <w:b/>
                <w:bCs/>
                <w:color w:val="000000"/>
                <w:sz w:val="24"/>
                <w:szCs w:val="24"/>
              </w:rPr>
              <w:t>107,8</w:t>
            </w:r>
          </w:p>
        </w:tc>
        <w:tc>
          <w:tcPr>
            <w:tcW w:w="126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rPr>
                <w:b/>
                <w:bCs/>
                <w:color w:val="000000"/>
                <w:sz w:val="24"/>
                <w:szCs w:val="24"/>
              </w:rPr>
            </w:pPr>
            <w:r>
              <w:rPr>
                <w:b/>
                <w:bCs/>
                <w:color w:val="000000"/>
                <w:sz w:val="24"/>
                <w:szCs w:val="24"/>
              </w:rPr>
              <w:t>109,0</w:t>
            </w:r>
          </w:p>
        </w:tc>
      </w:tr>
      <w:tr w:rsidR="004F0F0B">
        <w:trPr>
          <w:trHeight w:val="360"/>
          <w:jc w:val="center"/>
        </w:trPr>
        <w:tc>
          <w:tcPr>
            <w:tcW w:w="6292" w:type="dxa"/>
            <w:tcBorders>
              <w:top w:val="none" w:sz="4" w:space="0" w:color="000000"/>
              <w:left w:val="single" w:sz="4" w:space="0" w:color="auto"/>
              <w:bottom w:val="single" w:sz="4" w:space="0" w:color="auto"/>
              <w:right w:val="single" w:sz="4" w:space="0" w:color="auto"/>
            </w:tcBorders>
            <w:shd w:val="clear" w:color="auto" w:fill="auto"/>
            <w:vAlign w:val="center"/>
          </w:tcPr>
          <w:p w:rsidR="004F0F0B" w:rsidRDefault="000535AB">
            <w:pPr>
              <w:rPr>
                <w:bCs/>
                <w:color w:val="000000"/>
                <w:sz w:val="24"/>
                <w:szCs w:val="24"/>
              </w:rPr>
            </w:pPr>
            <w:r>
              <w:rPr>
                <w:bCs/>
                <w:color w:val="000000"/>
                <w:sz w:val="24"/>
                <w:szCs w:val="24"/>
              </w:rPr>
              <w:t>Темп роста численности занятых в экономике, в % к предыдущему году</w:t>
            </w:r>
          </w:p>
        </w:tc>
        <w:tc>
          <w:tcPr>
            <w:tcW w:w="154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99,7</w:t>
            </w:r>
          </w:p>
        </w:tc>
        <w:tc>
          <w:tcPr>
            <w:tcW w:w="1364"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100,7</w:t>
            </w:r>
          </w:p>
        </w:tc>
        <w:tc>
          <w:tcPr>
            <w:tcW w:w="1580"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100,2</w:t>
            </w:r>
          </w:p>
        </w:tc>
        <w:tc>
          <w:tcPr>
            <w:tcW w:w="126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100,2</w:t>
            </w:r>
          </w:p>
        </w:tc>
        <w:tc>
          <w:tcPr>
            <w:tcW w:w="1463"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98,6</w:t>
            </w:r>
          </w:p>
        </w:tc>
        <w:tc>
          <w:tcPr>
            <w:tcW w:w="1269" w:type="dxa"/>
            <w:tcBorders>
              <w:top w:val="none" w:sz="4" w:space="0" w:color="000000"/>
              <w:left w:val="none" w:sz="4" w:space="0" w:color="000000"/>
              <w:bottom w:val="single" w:sz="4" w:space="0" w:color="auto"/>
              <w:right w:val="single" w:sz="4" w:space="0" w:color="auto"/>
            </w:tcBorders>
            <w:shd w:val="clear" w:color="auto" w:fill="FFFFFF" w:themeFill="background1"/>
            <w:vAlign w:val="center"/>
          </w:tcPr>
          <w:p w:rsidR="004F0F0B" w:rsidRDefault="000535AB">
            <w:pPr>
              <w:jc w:val="center"/>
            </w:pPr>
            <w:r>
              <w:rPr>
                <w:color w:val="000000"/>
                <w:sz w:val="24"/>
              </w:rPr>
              <w:t>98,7</w:t>
            </w:r>
          </w:p>
        </w:tc>
      </w:tr>
    </w:tbl>
    <w:p w:rsidR="004F0F0B" w:rsidRDefault="004F0F0B">
      <w:pPr>
        <w:jc w:val="center"/>
        <w:rPr>
          <w:color w:val="FF0000"/>
        </w:rPr>
      </w:pPr>
    </w:p>
    <w:sectPr w:rsidR="004F0F0B">
      <w:pgSz w:w="16838" w:h="11906" w:orient="landscape"/>
      <w:pgMar w:top="567" w:right="1134"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444C" w:rsidRDefault="004A444C">
      <w:r>
        <w:separator/>
      </w:r>
    </w:p>
  </w:endnote>
  <w:endnote w:type="continuationSeparator" w:id="0">
    <w:p w:rsidR="004A444C" w:rsidRDefault="004A44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iberation Sans">
    <w:altName w:val="Arial"/>
    <w:charset w:val="0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444C" w:rsidRDefault="004A444C">
      <w:r>
        <w:separator/>
      </w:r>
    </w:p>
  </w:footnote>
  <w:footnote w:type="continuationSeparator" w:id="0">
    <w:p w:rsidR="004A444C" w:rsidRDefault="004A44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6895257"/>
      <w:docPartObj>
        <w:docPartGallery w:val="Page Numbers (Top of Page)"/>
        <w:docPartUnique/>
      </w:docPartObj>
    </w:sdtPr>
    <w:sdtEndPr/>
    <w:sdtContent>
      <w:p w:rsidR="000535AB" w:rsidRDefault="000535AB">
        <w:pPr>
          <w:pStyle w:val="af4"/>
          <w:jc w:val="center"/>
          <w:rPr>
            <w:sz w:val="24"/>
            <w:szCs w:val="24"/>
          </w:rPr>
        </w:pPr>
        <w:r>
          <w:rPr>
            <w:sz w:val="24"/>
            <w:szCs w:val="24"/>
          </w:rPr>
          <w:fldChar w:fldCharType="begin"/>
        </w:r>
        <w:r>
          <w:rPr>
            <w:sz w:val="24"/>
            <w:szCs w:val="24"/>
          </w:rPr>
          <w:instrText>PAGE   \* MERGEFORMAT</w:instrText>
        </w:r>
        <w:r>
          <w:rPr>
            <w:sz w:val="24"/>
            <w:szCs w:val="24"/>
          </w:rPr>
          <w:fldChar w:fldCharType="separate"/>
        </w:r>
        <w:r w:rsidR="00156315">
          <w:rPr>
            <w:noProof/>
            <w:sz w:val="24"/>
            <w:szCs w:val="24"/>
          </w:rPr>
          <w:t>2</w:t>
        </w:r>
        <w:r>
          <w:rPr>
            <w:sz w:val="24"/>
            <w:szCs w:val="24"/>
          </w:rPr>
          <w:fldChar w:fldCharType="end"/>
        </w:r>
      </w:p>
    </w:sdtContent>
  </w:sdt>
  <w:p w:rsidR="000535AB" w:rsidRDefault="000535AB">
    <w:pPr>
      <w:pStyle w:val="af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86AB1"/>
    <w:multiLevelType w:val="hybridMultilevel"/>
    <w:tmpl w:val="94920BE4"/>
    <w:lvl w:ilvl="0" w:tplc="87E275C2">
      <w:start w:val="1"/>
      <w:numFmt w:val="bullet"/>
      <w:lvlText w:val="–"/>
      <w:lvlJc w:val="left"/>
      <w:pPr>
        <w:ind w:left="1418" w:hanging="360"/>
      </w:pPr>
      <w:rPr>
        <w:rFonts w:ascii="Liberation Sans" w:eastAsia="Liberation Sans" w:hAnsi="Liberation Sans" w:cs="Liberation Sans" w:hint="default"/>
      </w:rPr>
    </w:lvl>
    <w:lvl w:ilvl="1" w:tplc="FD68297A">
      <w:start w:val="1"/>
      <w:numFmt w:val="bullet"/>
      <w:lvlText w:val="o"/>
      <w:lvlJc w:val="left"/>
      <w:pPr>
        <w:ind w:left="2138" w:hanging="360"/>
      </w:pPr>
      <w:rPr>
        <w:rFonts w:ascii="Courier New" w:eastAsia="Courier New" w:hAnsi="Courier New" w:cs="Courier New" w:hint="default"/>
      </w:rPr>
    </w:lvl>
    <w:lvl w:ilvl="2" w:tplc="759C43E6">
      <w:start w:val="1"/>
      <w:numFmt w:val="bullet"/>
      <w:lvlText w:val="§"/>
      <w:lvlJc w:val="left"/>
      <w:pPr>
        <w:ind w:left="2858" w:hanging="360"/>
      </w:pPr>
      <w:rPr>
        <w:rFonts w:ascii="Wingdings" w:eastAsia="Wingdings" w:hAnsi="Wingdings" w:cs="Wingdings" w:hint="default"/>
      </w:rPr>
    </w:lvl>
    <w:lvl w:ilvl="3" w:tplc="2B40B514">
      <w:start w:val="1"/>
      <w:numFmt w:val="bullet"/>
      <w:lvlText w:val="·"/>
      <w:lvlJc w:val="left"/>
      <w:pPr>
        <w:ind w:left="3578" w:hanging="360"/>
      </w:pPr>
      <w:rPr>
        <w:rFonts w:ascii="Symbol" w:eastAsia="Symbol" w:hAnsi="Symbol" w:cs="Symbol" w:hint="default"/>
      </w:rPr>
    </w:lvl>
    <w:lvl w:ilvl="4" w:tplc="5ADC0188">
      <w:start w:val="1"/>
      <w:numFmt w:val="bullet"/>
      <w:lvlText w:val="o"/>
      <w:lvlJc w:val="left"/>
      <w:pPr>
        <w:ind w:left="4298" w:hanging="360"/>
      </w:pPr>
      <w:rPr>
        <w:rFonts w:ascii="Courier New" w:eastAsia="Courier New" w:hAnsi="Courier New" w:cs="Courier New" w:hint="default"/>
      </w:rPr>
    </w:lvl>
    <w:lvl w:ilvl="5" w:tplc="381E2D74">
      <w:start w:val="1"/>
      <w:numFmt w:val="bullet"/>
      <w:lvlText w:val="§"/>
      <w:lvlJc w:val="left"/>
      <w:pPr>
        <w:ind w:left="5018" w:hanging="360"/>
      </w:pPr>
      <w:rPr>
        <w:rFonts w:ascii="Wingdings" w:eastAsia="Wingdings" w:hAnsi="Wingdings" w:cs="Wingdings" w:hint="default"/>
      </w:rPr>
    </w:lvl>
    <w:lvl w:ilvl="6" w:tplc="0D94255E">
      <w:start w:val="1"/>
      <w:numFmt w:val="bullet"/>
      <w:lvlText w:val="·"/>
      <w:lvlJc w:val="left"/>
      <w:pPr>
        <w:ind w:left="5738" w:hanging="360"/>
      </w:pPr>
      <w:rPr>
        <w:rFonts w:ascii="Symbol" w:eastAsia="Symbol" w:hAnsi="Symbol" w:cs="Symbol" w:hint="default"/>
      </w:rPr>
    </w:lvl>
    <w:lvl w:ilvl="7" w:tplc="E75EA804">
      <w:start w:val="1"/>
      <w:numFmt w:val="bullet"/>
      <w:lvlText w:val="o"/>
      <w:lvlJc w:val="left"/>
      <w:pPr>
        <w:ind w:left="6458" w:hanging="360"/>
      </w:pPr>
      <w:rPr>
        <w:rFonts w:ascii="Courier New" w:eastAsia="Courier New" w:hAnsi="Courier New" w:cs="Courier New" w:hint="default"/>
      </w:rPr>
    </w:lvl>
    <w:lvl w:ilvl="8" w:tplc="14C4E55A">
      <w:start w:val="1"/>
      <w:numFmt w:val="bullet"/>
      <w:lvlText w:val="§"/>
      <w:lvlJc w:val="left"/>
      <w:pPr>
        <w:ind w:left="7178" w:hanging="360"/>
      </w:pPr>
      <w:rPr>
        <w:rFonts w:ascii="Wingdings" w:eastAsia="Wingdings" w:hAnsi="Wingdings" w:cs="Wingdings" w:hint="default"/>
      </w:rPr>
    </w:lvl>
  </w:abstractNum>
  <w:abstractNum w:abstractNumId="1">
    <w:nsid w:val="1C117E64"/>
    <w:multiLevelType w:val="hybridMultilevel"/>
    <w:tmpl w:val="1A267446"/>
    <w:lvl w:ilvl="0" w:tplc="1A0EF1AE">
      <w:start w:val="1"/>
      <w:numFmt w:val="bullet"/>
      <w:lvlText w:val=""/>
      <w:lvlJc w:val="left"/>
      <w:pPr>
        <w:ind w:left="1429" w:hanging="360"/>
      </w:pPr>
      <w:rPr>
        <w:rFonts w:ascii="Symbol" w:hAnsi="Symbol" w:hint="default"/>
      </w:rPr>
    </w:lvl>
    <w:lvl w:ilvl="1" w:tplc="269E0250">
      <w:start w:val="1"/>
      <w:numFmt w:val="bullet"/>
      <w:lvlText w:val="o"/>
      <w:lvlJc w:val="left"/>
      <w:pPr>
        <w:ind w:left="2149" w:hanging="360"/>
      </w:pPr>
      <w:rPr>
        <w:rFonts w:ascii="Courier New" w:hAnsi="Courier New" w:cs="Courier New" w:hint="default"/>
      </w:rPr>
    </w:lvl>
    <w:lvl w:ilvl="2" w:tplc="0CFA1864">
      <w:start w:val="1"/>
      <w:numFmt w:val="bullet"/>
      <w:lvlText w:val=""/>
      <w:lvlJc w:val="left"/>
      <w:pPr>
        <w:ind w:left="2869" w:hanging="360"/>
      </w:pPr>
      <w:rPr>
        <w:rFonts w:ascii="Wingdings" w:hAnsi="Wingdings" w:hint="default"/>
      </w:rPr>
    </w:lvl>
    <w:lvl w:ilvl="3" w:tplc="1B4A5C42">
      <w:start w:val="1"/>
      <w:numFmt w:val="bullet"/>
      <w:lvlText w:val=""/>
      <w:lvlJc w:val="left"/>
      <w:pPr>
        <w:ind w:left="3589" w:hanging="360"/>
      </w:pPr>
      <w:rPr>
        <w:rFonts w:ascii="Symbol" w:hAnsi="Symbol" w:hint="default"/>
      </w:rPr>
    </w:lvl>
    <w:lvl w:ilvl="4" w:tplc="E9CE3788">
      <w:start w:val="1"/>
      <w:numFmt w:val="bullet"/>
      <w:lvlText w:val="o"/>
      <w:lvlJc w:val="left"/>
      <w:pPr>
        <w:ind w:left="4309" w:hanging="360"/>
      </w:pPr>
      <w:rPr>
        <w:rFonts w:ascii="Courier New" w:hAnsi="Courier New" w:cs="Courier New" w:hint="default"/>
      </w:rPr>
    </w:lvl>
    <w:lvl w:ilvl="5" w:tplc="DE588378">
      <w:start w:val="1"/>
      <w:numFmt w:val="bullet"/>
      <w:lvlText w:val=""/>
      <w:lvlJc w:val="left"/>
      <w:pPr>
        <w:ind w:left="5029" w:hanging="360"/>
      </w:pPr>
      <w:rPr>
        <w:rFonts w:ascii="Wingdings" w:hAnsi="Wingdings" w:hint="default"/>
      </w:rPr>
    </w:lvl>
    <w:lvl w:ilvl="6" w:tplc="10D63C8E">
      <w:start w:val="1"/>
      <w:numFmt w:val="bullet"/>
      <w:lvlText w:val=""/>
      <w:lvlJc w:val="left"/>
      <w:pPr>
        <w:ind w:left="5749" w:hanging="360"/>
      </w:pPr>
      <w:rPr>
        <w:rFonts w:ascii="Symbol" w:hAnsi="Symbol" w:hint="default"/>
      </w:rPr>
    </w:lvl>
    <w:lvl w:ilvl="7" w:tplc="924615FC">
      <w:start w:val="1"/>
      <w:numFmt w:val="bullet"/>
      <w:lvlText w:val="o"/>
      <w:lvlJc w:val="left"/>
      <w:pPr>
        <w:ind w:left="6469" w:hanging="360"/>
      </w:pPr>
      <w:rPr>
        <w:rFonts w:ascii="Courier New" w:hAnsi="Courier New" w:cs="Courier New" w:hint="default"/>
      </w:rPr>
    </w:lvl>
    <w:lvl w:ilvl="8" w:tplc="A6324FAE">
      <w:start w:val="1"/>
      <w:numFmt w:val="bullet"/>
      <w:lvlText w:val=""/>
      <w:lvlJc w:val="left"/>
      <w:pPr>
        <w:ind w:left="7189" w:hanging="360"/>
      </w:pPr>
      <w:rPr>
        <w:rFonts w:ascii="Wingdings" w:hAnsi="Wingdings" w:hint="default"/>
      </w:rPr>
    </w:lvl>
  </w:abstractNum>
  <w:abstractNum w:abstractNumId="2">
    <w:nsid w:val="2269504F"/>
    <w:multiLevelType w:val="hybridMultilevel"/>
    <w:tmpl w:val="4B0A3416"/>
    <w:lvl w:ilvl="0" w:tplc="9F8428A0">
      <w:start w:val="1"/>
      <w:numFmt w:val="bullet"/>
      <w:lvlText w:val=""/>
      <w:lvlJc w:val="left"/>
      <w:pPr>
        <w:ind w:left="1429" w:hanging="360"/>
      </w:pPr>
      <w:rPr>
        <w:rFonts w:ascii="Symbol" w:hAnsi="Symbol" w:hint="default"/>
      </w:rPr>
    </w:lvl>
    <w:lvl w:ilvl="1" w:tplc="DC147A76">
      <w:start w:val="1"/>
      <w:numFmt w:val="bullet"/>
      <w:lvlText w:val="o"/>
      <w:lvlJc w:val="left"/>
      <w:pPr>
        <w:ind w:left="2149" w:hanging="360"/>
      </w:pPr>
      <w:rPr>
        <w:rFonts w:ascii="Courier New" w:hAnsi="Courier New" w:cs="Courier New" w:hint="default"/>
      </w:rPr>
    </w:lvl>
    <w:lvl w:ilvl="2" w:tplc="84EA99CE">
      <w:start w:val="1"/>
      <w:numFmt w:val="bullet"/>
      <w:lvlText w:val=""/>
      <w:lvlJc w:val="left"/>
      <w:pPr>
        <w:ind w:left="2869" w:hanging="360"/>
      </w:pPr>
      <w:rPr>
        <w:rFonts w:ascii="Wingdings" w:hAnsi="Wingdings" w:hint="default"/>
      </w:rPr>
    </w:lvl>
    <w:lvl w:ilvl="3" w:tplc="E1BA5498">
      <w:start w:val="1"/>
      <w:numFmt w:val="bullet"/>
      <w:lvlText w:val=""/>
      <w:lvlJc w:val="left"/>
      <w:pPr>
        <w:ind w:left="3589" w:hanging="360"/>
      </w:pPr>
      <w:rPr>
        <w:rFonts w:ascii="Symbol" w:hAnsi="Symbol" w:hint="default"/>
      </w:rPr>
    </w:lvl>
    <w:lvl w:ilvl="4" w:tplc="AFEECACC">
      <w:start w:val="1"/>
      <w:numFmt w:val="bullet"/>
      <w:lvlText w:val="o"/>
      <w:lvlJc w:val="left"/>
      <w:pPr>
        <w:ind w:left="4309" w:hanging="360"/>
      </w:pPr>
      <w:rPr>
        <w:rFonts w:ascii="Courier New" w:hAnsi="Courier New" w:cs="Courier New" w:hint="default"/>
      </w:rPr>
    </w:lvl>
    <w:lvl w:ilvl="5" w:tplc="92B84020">
      <w:start w:val="1"/>
      <w:numFmt w:val="bullet"/>
      <w:lvlText w:val=""/>
      <w:lvlJc w:val="left"/>
      <w:pPr>
        <w:ind w:left="5029" w:hanging="360"/>
      </w:pPr>
      <w:rPr>
        <w:rFonts w:ascii="Wingdings" w:hAnsi="Wingdings" w:hint="default"/>
      </w:rPr>
    </w:lvl>
    <w:lvl w:ilvl="6" w:tplc="563EF786">
      <w:start w:val="1"/>
      <w:numFmt w:val="bullet"/>
      <w:lvlText w:val=""/>
      <w:lvlJc w:val="left"/>
      <w:pPr>
        <w:ind w:left="5749" w:hanging="360"/>
      </w:pPr>
      <w:rPr>
        <w:rFonts w:ascii="Symbol" w:hAnsi="Symbol" w:hint="default"/>
      </w:rPr>
    </w:lvl>
    <w:lvl w:ilvl="7" w:tplc="6ED0A0A2">
      <w:start w:val="1"/>
      <w:numFmt w:val="bullet"/>
      <w:lvlText w:val="o"/>
      <w:lvlJc w:val="left"/>
      <w:pPr>
        <w:ind w:left="6469" w:hanging="360"/>
      </w:pPr>
      <w:rPr>
        <w:rFonts w:ascii="Courier New" w:hAnsi="Courier New" w:cs="Courier New" w:hint="default"/>
      </w:rPr>
    </w:lvl>
    <w:lvl w:ilvl="8" w:tplc="E51CE1A4">
      <w:start w:val="1"/>
      <w:numFmt w:val="bullet"/>
      <w:lvlText w:val=""/>
      <w:lvlJc w:val="left"/>
      <w:pPr>
        <w:ind w:left="7189" w:hanging="360"/>
      </w:pPr>
      <w:rPr>
        <w:rFonts w:ascii="Wingdings" w:hAnsi="Wingdings" w:hint="default"/>
      </w:rPr>
    </w:lvl>
  </w:abstractNum>
  <w:abstractNum w:abstractNumId="3">
    <w:nsid w:val="6C4562EF"/>
    <w:multiLevelType w:val="hybridMultilevel"/>
    <w:tmpl w:val="6C4043A0"/>
    <w:lvl w:ilvl="0" w:tplc="C53076BA">
      <w:start w:val="1"/>
      <w:numFmt w:val="bullet"/>
      <w:lvlText w:val=""/>
      <w:lvlJc w:val="left"/>
      <w:pPr>
        <w:ind w:left="644" w:hanging="360"/>
      </w:pPr>
      <w:rPr>
        <w:rFonts w:ascii="Wingdings" w:hAnsi="Wingdings" w:hint="default"/>
      </w:rPr>
    </w:lvl>
    <w:lvl w:ilvl="1" w:tplc="25F2178E">
      <w:start w:val="1"/>
      <w:numFmt w:val="bullet"/>
      <w:lvlText w:val="o"/>
      <w:lvlJc w:val="left"/>
      <w:pPr>
        <w:ind w:left="1364" w:hanging="360"/>
      </w:pPr>
      <w:rPr>
        <w:rFonts w:ascii="Courier New" w:hAnsi="Courier New" w:cs="Courier New" w:hint="default"/>
      </w:rPr>
    </w:lvl>
    <w:lvl w:ilvl="2" w:tplc="F2148096">
      <w:start w:val="1"/>
      <w:numFmt w:val="bullet"/>
      <w:lvlText w:val=""/>
      <w:lvlJc w:val="left"/>
      <w:pPr>
        <w:ind w:left="2084" w:hanging="360"/>
      </w:pPr>
      <w:rPr>
        <w:rFonts w:ascii="Wingdings" w:hAnsi="Wingdings" w:hint="default"/>
      </w:rPr>
    </w:lvl>
    <w:lvl w:ilvl="3" w:tplc="8BF6EA70">
      <w:start w:val="1"/>
      <w:numFmt w:val="bullet"/>
      <w:lvlText w:val=""/>
      <w:lvlJc w:val="left"/>
      <w:pPr>
        <w:ind w:left="2804" w:hanging="360"/>
      </w:pPr>
      <w:rPr>
        <w:rFonts w:ascii="Symbol" w:hAnsi="Symbol" w:hint="default"/>
      </w:rPr>
    </w:lvl>
    <w:lvl w:ilvl="4" w:tplc="569C02CE">
      <w:start w:val="1"/>
      <w:numFmt w:val="bullet"/>
      <w:lvlText w:val="o"/>
      <w:lvlJc w:val="left"/>
      <w:pPr>
        <w:ind w:left="3524" w:hanging="360"/>
      </w:pPr>
      <w:rPr>
        <w:rFonts w:ascii="Courier New" w:hAnsi="Courier New" w:cs="Courier New" w:hint="default"/>
      </w:rPr>
    </w:lvl>
    <w:lvl w:ilvl="5" w:tplc="E3921ADA">
      <w:start w:val="1"/>
      <w:numFmt w:val="bullet"/>
      <w:lvlText w:val=""/>
      <w:lvlJc w:val="left"/>
      <w:pPr>
        <w:ind w:left="4244" w:hanging="360"/>
      </w:pPr>
      <w:rPr>
        <w:rFonts w:ascii="Wingdings" w:hAnsi="Wingdings" w:hint="default"/>
      </w:rPr>
    </w:lvl>
    <w:lvl w:ilvl="6" w:tplc="9D9E3FB6">
      <w:start w:val="1"/>
      <w:numFmt w:val="bullet"/>
      <w:lvlText w:val=""/>
      <w:lvlJc w:val="left"/>
      <w:pPr>
        <w:ind w:left="4964" w:hanging="360"/>
      </w:pPr>
      <w:rPr>
        <w:rFonts w:ascii="Symbol" w:hAnsi="Symbol" w:hint="default"/>
      </w:rPr>
    </w:lvl>
    <w:lvl w:ilvl="7" w:tplc="8D0ECBBC">
      <w:start w:val="1"/>
      <w:numFmt w:val="bullet"/>
      <w:lvlText w:val="o"/>
      <w:lvlJc w:val="left"/>
      <w:pPr>
        <w:ind w:left="5684" w:hanging="360"/>
      </w:pPr>
      <w:rPr>
        <w:rFonts w:ascii="Courier New" w:hAnsi="Courier New" w:cs="Courier New" w:hint="default"/>
      </w:rPr>
    </w:lvl>
    <w:lvl w:ilvl="8" w:tplc="A22E5F16">
      <w:start w:val="1"/>
      <w:numFmt w:val="bullet"/>
      <w:lvlText w:val=""/>
      <w:lvlJc w:val="left"/>
      <w:pPr>
        <w:ind w:left="6404" w:hanging="360"/>
      </w:pPr>
      <w:rPr>
        <w:rFonts w:ascii="Wingdings" w:hAnsi="Wingdings" w:hint="default"/>
      </w:rPr>
    </w:lvl>
  </w:abstractNum>
  <w:num w:numId="1">
    <w:abstractNumId w:val="3"/>
  </w:num>
  <w:num w:numId="2">
    <w:abstractNumId w:val="2"/>
  </w:num>
  <w:num w:numId="3">
    <w:abstractNumId w:val="2"/>
  </w:num>
  <w:num w:numId="4">
    <w:abstractNumId w:val="2"/>
  </w:num>
  <w:num w:numId="5">
    <w:abstractNumId w:val="2"/>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0F0B"/>
    <w:rsid w:val="000535AB"/>
    <w:rsid w:val="00156315"/>
    <w:rsid w:val="004A444C"/>
    <w:rsid w:val="004F0F0B"/>
    <w:rsid w:val="005C522B"/>
    <w:rsid w:val="00C00D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pPr>
      <w:keepNext/>
      <w:keepLines/>
      <w:spacing w:before="480" w:after="200"/>
      <w:outlineLvl w:val="0"/>
    </w:pPr>
    <w:rPr>
      <w:rFonts w:ascii="Liberation Sans" w:eastAsia="Liberation Sans" w:hAnsi="Liberation Sans" w:cs="Liberation Sans"/>
      <w:sz w:val="40"/>
      <w:szCs w:val="40"/>
    </w:rPr>
  </w:style>
  <w:style w:type="paragraph" w:styleId="2">
    <w:name w:val="heading 2"/>
    <w:basedOn w:val="a"/>
    <w:next w:val="a"/>
    <w:link w:val="20"/>
    <w:uiPriority w:val="9"/>
    <w:unhideWhenUsed/>
    <w:qFormat/>
    <w:pPr>
      <w:keepNext/>
      <w:keepLines/>
      <w:spacing w:before="360" w:after="20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pPr>
      <w:keepNext/>
      <w:keepLines/>
      <w:spacing w:before="320" w:after="20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
    <w:next w:val="a"/>
    <w:link w:val="50"/>
    <w:qFormat/>
    <w:pPr>
      <w:keepNext/>
      <w:tabs>
        <w:tab w:val="left" w:pos="3119"/>
      </w:tabs>
      <w:ind w:left="3545"/>
      <w:outlineLvl w:val="4"/>
    </w:pPr>
    <w:rPr>
      <w:sz w:val="28"/>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sz w:val="22"/>
      <w:szCs w:val="22"/>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sz w:val="22"/>
      <w:szCs w:val="22"/>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Liberation Sans" w:eastAsia="Liberation Sans" w:hAnsi="Liberation Sans" w:cs="Liberation Sans"/>
      <w:sz w:val="40"/>
      <w:szCs w:val="40"/>
    </w:rPr>
  </w:style>
  <w:style w:type="character" w:customStyle="1" w:styleId="20">
    <w:name w:val="Заголовок 2 Знак"/>
    <w:basedOn w:val="a0"/>
    <w:link w:val="2"/>
    <w:uiPriority w:val="9"/>
    <w:rPr>
      <w:rFonts w:ascii="Liberation Sans" w:eastAsia="Liberation Sans" w:hAnsi="Liberation Sans" w:cs="Liberation Sans"/>
      <w:sz w:val="34"/>
    </w:rPr>
  </w:style>
  <w:style w:type="character" w:customStyle="1" w:styleId="30">
    <w:name w:val="Заголовок 3 Знак"/>
    <w:basedOn w:val="a0"/>
    <w:link w:val="3"/>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Heading5Char">
    <w:name w:val="Heading 5 Char"/>
    <w:basedOn w:val="a0"/>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No Spacing"/>
    <w:uiPriority w:val="1"/>
    <w:qFormat/>
    <w:pPr>
      <w:spacing w:after="0" w:line="240" w:lineRule="auto"/>
    </w:pPr>
  </w:style>
  <w:style w:type="character" w:customStyle="1" w:styleId="TitleChar">
    <w:name w:val="Title Char"/>
    <w:basedOn w:val="a0"/>
    <w:uiPriority w:val="10"/>
    <w:rPr>
      <w:sz w:val="48"/>
      <w:szCs w:val="48"/>
    </w:rPr>
  </w:style>
  <w:style w:type="paragraph" w:styleId="a4">
    <w:name w:val="Subtitle"/>
    <w:basedOn w:val="a"/>
    <w:next w:val="a"/>
    <w:link w:val="a5"/>
    <w:uiPriority w:val="11"/>
    <w:qFormat/>
    <w:pPr>
      <w:spacing w:before="200" w:after="200"/>
    </w:pPr>
    <w:rPr>
      <w:sz w:val="24"/>
      <w:szCs w:val="24"/>
    </w:rPr>
  </w:style>
  <w:style w:type="character" w:customStyle="1" w:styleId="a5">
    <w:name w:val="Подзаголовок Знак"/>
    <w:basedOn w:val="a0"/>
    <w:link w:val="a4"/>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6">
    <w:name w:val="Intense Quote"/>
    <w:basedOn w:val="a"/>
    <w:next w:val="a"/>
    <w:link w:val="a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7">
    <w:name w:val="Выделенная цитата Знак"/>
    <w:link w:val="a6"/>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8">
    <w:name w:val="caption"/>
    <w:basedOn w:val="a"/>
    <w:next w:val="a"/>
    <w:link w:val="a9"/>
    <w:uiPriority w:val="35"/>
    <w:semiHidden/>
    <w:unhideWhenUsed/>
    <w:qFormat/>
    <w:pPr>
      <w:spacing w:line="276" w:lineRule="auto"/>
    </w:pPr>
    <w:rPr>
      <w:b/>
      <w:bCs/>
      <w:color w:val="4F81BD" w:themeColor="accent1"/>
      <w:sz w:val="18"/>
      <w:szCs w:val="18"/>
    </w:rPr>
  </w:style>
  <w:style w:type="character" w:customStyle="1" w:styleId="a9">
    <w:name w:val="Название объекта Знак"/>
    <w:basedOn w:val="a0"/>
    <w:link w:val="a8"/>
    <w:uiPriority w:val="35"/>
    <w:rPr>
      <w:b/>
      <w:bCs/>
      <w:color w:val="4F81BD" w:themeColor="accent1"/>
      <w:sz w:val="18"/>
      <w:szCs w:val="18"/>
    </w:rPr>
  </w:style>
  <w:style w:type="table" w:styleId="aa">
    <w:name w:val="Table Grid"/>
    <w:basedOn w:val="a1"/>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Liberation Sans" w:hAnsi="Liberation Sans"/>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Liberation Sans" w:hAnsi="Liberation Sans"/>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Liberation Sans" w:hAnsi="Liberation Sans"/>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Liberation Sans" w:hAnsi="Liberation Sans"/>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Liberation Sans" w:hAnsi="Liberation Sans"/>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Liberation Sans" w:hAnsi="Liberation Sans"/>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Liberation Sans" w:hAnsi="Liberation Sans"/>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Liberation Sans" w:hAnsi="Liberation Sans"/>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Liberation Sans" w:hAnsi="Liberation Sans"/>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Liberation Sans" w:hAnsi="Liberation Sans"/>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b">
    <w:name w:val="Hyperlink"/>
    <w:uiPriority w:val="99"/>
    <w:unhideWhenUsed/>
    <w:rPr>
      <w:color w:val="0000FF" w:themeColor="hyperlink"/>
      <w:u w:val="single"/>
    </w:rPr>
  </w:style>
  <w:style w:type="character" w:customStyle="1" w:styleId="FootnoteTextChar">
    <w:name w:val="Footnote Text Char"/>
    <w:uiPriority w:val="99"/>
    <w:rPr>
      <w:sz w:val="18"/>
    </w:rPr>
  </w:style>
  <w:style w:type="paragraph" w:styleId="ac">
    <w:name w:val="endnote text"/>
    <w:basedOn w:val="a"/>
    <w:link w:val="ad"/>
    <w:uiPriority w:val="99"/>
    <w:semiHidden/>
    <w:unhideWhenUsed/>
  </w:style>
  <w:style w:type="character" w:customStyle="1" w:styleId="ad">
    <w:name w:val="Текст концевой сноски Знак"/>
    <w:link w:val="ac"/>
    <w:uiPriority w:val="99"/>
    <w:rPr>
      <w:sz w:val="20"/>
    </w:rPr>
  </w:style>
  <w:style w:type="character" w:styleId="ae">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
    <w:name w:val="TOC Heading"/>
    <w:uiPriority w:val="39"/>
    <w:unhideWhenUsed/>
  </w:style>
  <w:style w:type="paragraph" w:styleId="af0">
    <w:name w:val="table of figures"/>
    <w:basedOn w:val="a"/>
    <w:next w:val="a"/>
    <w:uiPriority w:val="99"/>
    <w:unhideWhenUsed/>
  </w:style>
  <w:style w:type="paragraph" w:styleId="af1">
    <w:name w:val="Body Text Indent"/>
    <w:basedOn w:val="a"/>
    <w:link w:val="af2"/>
    <w:semiHidden/>
    <w:unhideWhenUsed/>
    <w:pPr>
      <w:tabs>
        <w:tab w:val="left" w:pos="1418"/>
      </w:tabs>
      <w:ind w:firstLine="709"/>
      <w:jc w:val="both"/>
    </w:pPr>
    <w:rPr>
      <w:sz w:val="28"/>
    </w:rPr>
  </w:style>
  <w:style w:type="character" w:customStyle="1" w:styleId="af2">
    <w:name w:val="Основной текст с отступом Знак"/>
    <w:basedOn w:val="a0"/>
    <w:link w:val="af1"/>
    <w:semiHidden/>
    <w:rPr>
      <w:rFonts w:ascii="Times New Roman" w:eastAsia="Times New Roman" w:hAnsi="Times New Roman" w:cs="Times New Roman"/>
      <w:sz w:val="28"/>
      <w:szCs w:val="20"/>
      <w:lang w:eastAsia="ru-RU"/>
    </w:rPr>
  </w:style>
  <w:style w:type="paragraph" w:customStyle="1" w:styleId="14">
    <w:name w:val="Обычный +14"/>
    <w:basedOn w:val="a"/>
    <w:pPr>
      <w:ind w:firstLine="709"/>
      <w:jc w:val="both"/>
    </w:pPr>
    <w:rPr>
      <w:sz w:val="28"/>
    </w:rPr>
  </w:style>
  <w:style w:type="paragraph" w:customStyle="1" w:styleId="24">
    <w:name w:val="Основной текст 24"/>
    <w:basedOn w:val="a"/>
    <w:qFormat/>
    <w:pPr>
      <w:widowControl w:val="0"/>
      <w:spacing w:after="60"/>
      <w:ind w:firstLine="720"/>
      <w:jc w:val="both"/>
    </w:pPr>
    <w:rPr>
      <w:sz w:val="28"/>
    </w:rPr>
  </w:style>
  <w:style w:type="paragraph" w:styleId="af3">
    <w:name w:val="List Paragraph"/>
    <w:basedOn w:val="a"/>
    <w:uiPriority w:val="34"/>
    <w:qFormat/>
    <w:pPr>
      <w:ind w:left="720"/>
      <w:contextualSpacing/>
    </w:pPr>
  </w:style>
  <w:style w:type="paragraph" w:styleId="32">
    <w:name w:val="Body Text 3"/>
    <w:basedOn w:val="a"/>
    <w:link w:val="33"/>
    <w:uiPriority w:val="99"/>
    <w:semiHidden/>
    <w:unhideWhenUsed/>
    <w:pPr>
      <w:spacing w:after="120"/>
    </w:pPr>
    <w:rPr>
      <w:sz w:val="16"/>
      <w:szCs w:val="16"/>
    </w:rPr>
  </w:style>
  <w:style w:type="character" w:customStyle="1" w:styleId="33">
    <w:name w:val="Основной текст 3 Знак"/>
    <w:basedOn w:val="a0"/>
    <w:link w:val="32"/>
    <w:uiPriority w:val="99"/>
    <w:semiHidden/>
    <w:rPr>
      <w:rFonts w:ascii="Times New Roman" w:eastAsia="Times New Roman" w:hAnsi="Times New Roman" w:cs="Times New Roman"/>
      <w:sz w:val="16"/>
      <w:szCs w:val="16"/>
      <w:lang w:eastAsia="ru-RU"/>
    </w:rPr>
  </w:style>
  <w:style w:type="character" w:customStyle="1" w:styleId="50">
    <w:name w:val="Заголовок 5 Знак"/>
    <w:basedOn w:val="a0"/>
    <w:link w:val="5"/>
    <w:rPr>
      <w:rFonts w:ascii="Times New Roman" w:eastAsia="Times New Roman" w:hAnsi="Times New Roman" w:cs="Times New Roman"/>
      <w:sz w:val="28"/>
      <w:szCs w:val="20"/>
      <w:lang w:eastAsia="ru-RU"/>
    </w:rPr>
  </w:style>
  <w:style w:type="paragraph" w:customStyle="1" w:styleId="210">
    <w:name w:val="Основной текст 21"/>
    <w:basedOn w:val="a"/>
    <w:pPr>
      <w:spacing w:after="60"/>
      <w:ind w:firstLine="720"/>
      <w:jc w:val="both"/>
    </w:pPr>
    <w:rPr>
      <w:sz w:val="28"/>
    </w:rPr>
  </w:style>
  <w:style w:type="paragraph" w:customStyle="1" w:styleId="211">
    <w:name w:val="Основной текст 21"/>
    <w:basedOn w:val="a"/>
    <w:pPr>
      <w:spacing w:after="60"/>
      <w:ind w:firstLine="720"/>
      <w:jc w:val="both"/>
    </w:pPr>
    <w:rPr>
      <w:sz w:val="28"/>
    </w:rPr>
  </w:style>
  <w:style w:type="paragraph" w:styleId="af4">
    <w:name w:val="header"/>
    <w:basedOn w:val="a"/>
    <w:link w:val="af5"/>
    <w:uiPriority w:val="99"/>
    <w:pPr>
      <w:tabs>
        <w:tab w:val="center" w:pos="4536"/>
        <w:tab w:val="right" w:pos="9072"/>
      </w:tabs>
    </w:pPr>
  </w:style>
  <w:style w:type="character" w:customStyle="1" w:styleId="af5">
    <w:name w:val="Верхний колонтитул Знак"/>
    <w:basedOn w:val="a0"/>
    <w:link w:val="af4"/>
    <w:uiPriority w:val="99"/>
    <w:rPr>
      <w:rFonts w:ascii="Times New Roman" w:eastAsia="Times New Roman" w:hAnsi="Times New Roman" w:cs="Times New Roman"/>
      <w:sz w:val="20"/>
      <w:szCs w:val="20"/>
      <w:lang w:eastAsia="ru-RU"/>
    </w:rPr>
  </w:style>
  <w:style w:type="paragraph" w:customStyle="1" w:styleId="220">
    <w:name w:val="Основной текст 22"/>
    <w:basedOn w:val="a"/>
    <w:pPr>
      <w:spacing w:after="60"/>
      <w:ind w:firstLine="720"/>
      <w:jc w:val="both"/>
    </w:pPr>
    <w:rPr>
      <w:sz w:val="28"/>
    </w:rPr>
  </w:style>
  <w:style w:type="paragraph" w:styleId="af6">
    <w:name w:val="footer"/>
    <w:basedOn w:val="a"/>
    <w:link w:val="af7"/>
    <w:uiPriority w:val="99"/>
    <w:unhideWhenUsed/>
    <w:pPr>
      <w:tabs>
        <w:tab w:val="center" w:pos="4677"/>
        <w:tab w:val="right" w:pos="9355"/>
      </w:tabs>
    </w:pPr>
  </w:style>
  <w:style w:type="character" w:customStyle="1" w:styleId="af7">
    <w:name w:val="Нижний колонтитул Знак"/>
    <w:basedOn w:val="a0"/>
    <w:link w:val="af6"/>
    <w:uiPriority w:val="99"/>
    <w:rPr>
      <w:rFonts w:ascii="Times New Roman" w:eastAsia="Times New Roman" w:hAnsi="Times New Roman" w:cs="Times New Roman"/>
      <w:sz w:val="20"/>
      <w:szCs w:val="20"/>
      <w:lang w:eastAsia="ru-RU"/>
    </w:rPr>
  </w:style>
  <w:style w:type="paragraph" w:styleId="af8">
    <w:name w:val="Body Text"/>
    <w:basedOn w:val="a"/>
    <w:link w:val="af9"/>
    <w:uiPriority w:val="99"/>
    <w:unhideWhenUsed/>
    <w:pPr>
      <w:spacing w:after="120"/>
    </w:pPr>
  </w:style>
  <w:style w:type="character" w:customStyle="1" w:styleId="af9">
    <w:name w:val="Основной текст Знак"/>
    <w:basedOn w:val="a0"/>
    <w:link w:val="af8"/>
    <w:uiPriority w:val="99"/>
    <w:rPr>
      <w:rFonts w:ascii="Times New Roman" w:eastAsia="Times New Roman" w:hAnsi="Times New Roman" w:cs="Times New Roman"/>
      <w:sz w:val="20"/>
      <w:szCs w:val="20"/>
      <w:lang w:eastAsia="ru-RU"/>
    </w:rPr>
  </w:style>
  <w:style w:type="paragraph" w:customStyle="1" w:styleId="140">
    <w:name w:val="Обычный +14 Знак Знак"/>
    <w:basedOn w:val="a"/>
    <w:pPr>
      <w:ind w:firstLine="709"/>
      <w:jc w:val="both"/>
    </w:pPr>
    <w:rPr>
      <w:sz w:val="28"/>
    </w:rPr>
  </w:style>
  <w:style w:type="paragraph" w:customStyle="1" w:styleId="Default">
    <w:name w:val="Default"/>
    <w:pPr>
      <w:spacing w:after="0" w:line="240" w:lineRule="auto"/>
    </w:pPr>
    <w:rPr>
      <w:rFonts w:ascii="Times New Roman" w:hAnsi="Times New Roman" w:cs="Times New Roman"/>
      <w:color w:val="000000"/>
      <w:sz w:val="24"/>
      <w:szCs w:val="24"/>
    </w:rPr>
  </w:style>
  <w:style w:type="paragraph" w:styleId="afa">
    <w:name w:val="footnote text"/>
    <w:basedOn w:val="a"/>
    <w:link w:val="afb"/>
    <w:uiPriority w:val="99"/>
    <w:semiHidden/>
    <w:unhideWhenUsed/>
  </w:style>
  <w:style w:type="character" w:customStyle="1" w:styleId="afb">
    <w:name w:val="Текст сноски Знак"/>
    <w:basedOn w:val="a0"/>
    <w:link w:val="afa"/>
    <w:uiPriority w:val="99"/>
    <w:semiHidden/>
    <w:rPr>
      <w:rFonts w:ascii="Times New Roman" w:eastAsia="Times New Roman" w:hAnsi="Times New Roman" w:cs="Times New Roman"/>
      <w:sz w:val="20"/>
      <w:szCs w:val="20"/>
      <w:lang w:eastAsia="ru-RU"/>
    </w:rPr>
  </w:style>
  <w:style w:type="character" w:styleId="afc">
    <w:name w:val="footnote reference"/>
    <w:semiHidden/>
    <w:qFormat/>
    <w:rPr>
      <w:vertAlign w:val="superscript"/>
    </w:rPr>
  </w:style>
  <w:style w:type="paragraph" w:styleId="afd">
    <w:name w:val="Title"/>
    <w:basedOn w:val="a"/>
    <w:link w:val="afe"/>
    <w:qFormat/>
    <w:pPr>
      <w:spacing w:after="200" w:line="276" w:lineRule="auto"/>
      <w:jc w:val="center"/>
    </w:pPr>
    <w:rPr>
      <w:b/>
      <w:sz w:val="28"/>
    </w:rPr>
  </w:style>
  <w:style w:type="character" w:customStyle="1" w:styleId="afe">
    <w:name w:val="Название Знак"/>
    <w:basedOn w:val="a0"/>
    <w:link w:val="afd"/>
    <w:rPr>
      <w:rFonts w:ascii="Times New Roman" w:eastAsia="Times New Roman" w:hAnsi="Times New Roman" w:cs="Times New Roman"/>
      <w:b/>
      <w:sz w:val="28"/>
      <w:szCs w:val="20"/>
      <w:lang w:eastAsia="ru-RU"/>
    </w:rPr>
  </w:style>
  <w:style w:type="character" w:styleId="aff">
    <w:name w:val="annotation reference"/>
    <w:uiPriority w:val="99"/>
    <w:unhideWhenUsed/>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pPr>
      <w:keepNext/>
      <w:keepLines/>
      <w:spacing w:before="480" w:after="200"/>
      <w:outlineLvl w:val="0"/>
    </w:pPr>
    <w:rPr>
      <w:rFonts w:ascii="Liberation Sans" w:eastAsia="Liberation Sans" w:hAnsi="Liberation Sans" w:cs="Liberation Sans"/>
      <w:sz w:val="40"/>
      <w:szCs w:val="40"/>
    </w:rPr>
  </w:style>
  <w:style w:type="paragraph" w:styleId="2">
    <w:name w:val="heading 2"/>
    <w:basedOn w:val="a"/>
    <w:next w:val="a"/>
    <w:link w:val="20"/>
    <w:uiPriority w:val="9"/>
    <w:unhideWhenUsed/>
    <w:qFormat/>
    <w:pPr>
      <w:keepNext/>
      <w:keepLines/>
      <w:spacing w:before="360" w:after="20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pPr>
      <w:keepNext/>
      <w:keepLines/>
      <w:spacing w:before="320" w:after="20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
    <w:next w:val="a"/>
    <w:link w:val="50"/>
    <w:qFormat/>
    <w:pPr>
      <w:keepNext/>
      <w:tabs>
        <w:tab w:val="left" w:pos="3119"/>
      </w:tabs>
      <w:ind w:left="3545"/>
      <w:outlineLvl w:val="4"/>
    </w:pPr>
    <w:rPr>
      <w:sz w:val="28"/>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sz w:val="22"/>
      <w:szCs w:val="22"/>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sz w:val="22"/>
      <w:szCs w:val="22"/>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Liberation Sans" w:eastAsia="Liberation Sans" w:hAnsi="Liberation Sans" w:cs="Liberation Sans"/>
      <w:sz w:val="40"/>
      <w:szCs w:val="40"/>
    </w:rPr>
  </w:style>
  <w:style w:type="character" w:customStyle="1" w:styleId="20">
    <w:name w:val="Заголовок 2 Знак"/>
    <w:basedOn w:val="a0"/>
    <w:link w:val="2"/>
    <w:uiPriority w:val="9"/>
    <w:rPr>
      <w:rFonts w:ascii="Liberation Sans" w:eastAsia="Liberation Sans" w:hAnsi="Liberation Sans" w:cs="Liberation Sans"/>
      <w:sz w:val="34"/>
    </w:rPr>
  </w:style>
  <w:style w:type="character" w:customStyle="1" w:styleId="30">
    <w:name w:val="Заголовок 3 Знак"/>
    <w:basedOn w:val="a0"/>
    <w:link w:val="3"/>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Heading5Char">
    <w:name w:val="Heading 5 Char"/>
    <w:basedOn w:val="a0"/>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No Spacing"/>
    <w:uiPriority w:val="1"/>
    <w:qFormat/>
    <w:pPr>
      <w:spacing w:after="0" w:line="240" w:lineRule="auto"/>
    </w:pPr>
  </w:style>
  <w:style w:type="character" w:customStyle="1" w:styleId="TitleChar">
    <w:name w:val="Title Char"/>
    <w:basedOn w:val="a0"/>
    <w:uiPriority w:val="10"/>
    <w:rPr>
      <w:sz w:val="48"/>
      <w:szCs w:val="48"/>
    </w:rPr>
  </w:style>
  <w:style w:type="paragraph" w:styleId="a4">
    <w:name w:val="Subtitle"/>
    <w:basedOn w:val="a"/>
    <w:next w:val="a"/>
    <w:link w:val="a5"/>
    <w:uiPriority w:val="11"/>
    <w:qFormat/>
    <w:pPr>
      <w:spacing w:before="200" w:after="200"/>
    </w:pPr>
    <w:rPr>
      <w:sz w:val="24"/>
      <w:szCs w:val="24"/>
    </w:rPr>
  </w:style>
  <w:style w:type="character" w:customStyle="1" w:styleId="a5">
    <w:name w:val="Подзаголовок Знак"/>
    <w:basedOn w:val="a0"/>
    <w:link w:val="a4"/>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6">
    <w:name w:val="Intense Quote"/>
    <w:basedOn w:val="a"/>
    <w:next w:val="a"/>
    <w:link w:val="a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7">
    <w:name w:val="Выделенная цитата Знак"/>
    <w:link w:val="a6"/>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8">
    <w:name w:val="caption"/>
    <w:basedOn w:val="a"/>
    <w:next w:val="a"/>
    <w:link w:val="a9"/>
    <w:uiPriority w:val="35"/>
    <w:semiHidden/>
    <w:unhideWhenUsed/>
    <w:qFormat/>
    <w:pPr>
      <w:spacing w:line="276" w:lineRule="auto"/>
    </w:pPr>
    <w:rPr>
      <w:b/>
      <w:bCs/>
      <w:color w:val="4F81BD" w:themeColor="accent1"/>
      <w:sz w:val="18"/>
      <w:szCs w:val="18"/>
    </w:rPr>
  </w:style>
  <w:style w:type="character" w:customStyle="1" w:styleId="a9">
    <w:name w:val="Название объекта Знак"/>
    <w:basedOn w:val="a0"/>
    <w:link w:val="a8"/>
    <w:uiPriority w:val="35"/>
    <w:rPr>
      <w:b/>
      <w:bCs/>
      <w:color w:val="4F81BD" w:themeColor="accent1"/>
      <w:sz w:val="18"/>
      <w:szCs w:val="18"/>
    </w:rPr>
  </w:style>
  <w:style w:type="table" w:styleId="aa">
    <w:name w:val="Table Grid"/>
    <w:basedOn w:val="a1"/>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Liberation Sans" w:hAnsi="Liberation Sans"/>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Liberation Sans" w:hAnsi="Liberation Sans"/>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Liberation Sans" w:hAnsi="Liberation Sans"/>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Liberation Sans" w:hAnsi="Liberation Sans"/>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Liberation Sans" w:hAnsi="Liberation Sans"/>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Liberation Sans" w:hAnsi="Liberation Sans"/>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Liberation Sans" w:hAnsi="Liberation Sans"/>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Liberation Sans" w:hAnsi="Liberation Sans"/>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Liberation Sans" w:hAnsi="Liberation Sans"/>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Liberation Sans" w:hAnsi="Liberation Sans"/>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b">
    <w:name w:val="Hyperlink"/>
    <w:uiPriority w:val="99"/>
    <w:unhideWhenUsed/>
    <w:rPr>
      <w:color w:val="0000FF" w:themeColor="hyperlink"/>
      <w:u w:val="single"/>
    </w:rPr>
  </w:style>
  <w:style w:type="character" w:customStyle="1" w:styleId="FootnoteTextChar">
    <w:name w:val="Footnote Text Char"/>
    <w:uiPriority w:val="99"/>
    <w:rPr>
      <w:sz w:val="18"/>
    </w:rPr>
  </w:style>
  <w:style w:type="paragraph" w:styleId="ac">
    <w:name w:val="endnote text"/>
    <w:basedOn w:val="a"/>
    <w:link w:val="ad"/>
    <w:uiPriority w:val="99"/>
    <w:semiHidden/>
    <w:unhideWhenUsed/>
  </w:style>
  <w:style w:type="character" w:customStyle="1" w:styleId="ad">
    <w:name w:val="Текст концевой сноски Знак"/>
    <w:link w:val="ac"/>
    <w:uiPriority w:val="99"/>
    <w:rPr>
      <w:sz w:val="20"/>
    </w:rPr>
  </w:style>
  <w:style w:type="character" w:styleId="ae">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
    <w:name w:val="TOC Heading"/>
    <w:uiPriority w:val="39"/>
    <w:unhideWhenUsed/>
  </w:style>
  <w:style w:type="paragraph" w:styleId="af0">
    <w:name w:val="table of figures"/>
    <w:basedOn w:val="a"/>
    <w:next w:val="a"/>
    <w:uiPriority w:val="99"/>
    <w:unhideWhenUsed/>
  </w:style>
  <w:style w:type="paragraph" w:styleId="af1">
    <w:name w:val="Body Text Indent"/>
    <w:basedOn w:val="a"/>
    <w:link w:val="af2"/>
    <w:semiHidden/>
    <w:unhideWhenUsed/>
    <w:pPr>
      <w:tabs>
        <w:tab w:val="left" w:pos="1418"/>
      </w:tabs>
      <w:ind w:firstLine="709"/>
      <w:jc w:val="both"/>
    </w:pPr>
    <w:rPr>
      <w:sz w:val="28"/>
    </w:rPr>
  </w:style>
  <w:style w:type="character" w:customStyle="1" w:styleId="af2">
    <w:name w:val="Основной текст с отступом Знак"/>
    <w:basedOn w:val="a0"/>
    <w:link w:val="af1"/>
    <w:semiHidden/>
    <w:rPr>
      <w:rFonts w:ascii="Times New Roman" w:eastAsia="Times New Roman" w:hAnsi="Times New Roman" w:cs="Times New Roman"/>
      <w:sz w:val="28"/>
      <w:szCs w:val="20"/>
      <w:lang w:eastAsia="ru-RU"/>
    </w:rPr>
  </w:style>
  <w:style w:type="paragraph" w:customStyle="1" w:styleId="14">
    <w:name w:val="Обычный +14"/>
    <w:basedOn w:val="a"/>
    <w:pPr>
      <w:ind w:firstLine="709"/>
      <w:jc w:val="both"/>
    </w:pPr>
    <w:rPr>
      <w:sz w:val="28"/>
    </w:rPr>
  </w:style>
  <w:style w:type="paragraph" w:customStyle="1" w:styleId="24">
    <w:name w:val="Основной текст 24"/>
    <w:basedOn w:val="a"/>
    <w:qFormat/>
    <w:pPr>
      <w:widowControl w:val="0"/>
      <w:spacing w:after="60"/>
      <w:ind w:firstLine="720"/>
      <w:jc w:val="both"/>
    </w:pPr>
    <w:rPr>
      <w:sz w:val="28"/>
    </w:rPr>
  </w:style>
  <w:style w:type="paragraph" w:styleId="af3">
    <w:name w:val="List Paragraph"/>
    <w:basedOn w:val="a"/>
    <w:uiPriority w:val="34"/>
    <w:qFormat/>
    <w:pPr>
      <w:ind w:left="720"/>
      <w:contextualSpacing/>
    </w:pPr>
  </w:style>
  <w:style w:type="paragraph" w:styleId="32">
    <w:name w:val="Body Text 3"/>
    <w:basedOn w:val="a"/>
    <w:link w:val="33"/>
    <w:uiPriority w:val="99"/>
    <w:semiHidden/>
    <w:unhideWhenUsed/>
    <w:pPr>
      <w:spacing w:after="120"/>
    </w:pPr>
    <w:rPr>
      <w:sz w:val="16"/>
      <w:szCs w:val="16"/>
    </w:rPr>
  </w:style>
  <w:style w:type="character" w:customStyle="1" w:styleId="33">
    <w:name w:val="Основной текст 3 Знак"/>
    <w:basedOn w:val="a0"/>
    <w:link w:val="32"/>
    <w:uiPriority w:val="99"/>
    <w:semiHidden/>
    <w:rPr>
      <w:rFonts w:ascii="Times New Roman" w:eastAsia="Times New Roman" w:hAnsi="Times New Roman" w:cs="Times New Roman"/>
      <w:sz w:val="16"/>
      <w:szCs w:val="16"/>
      <w:lang w:eastAsia="ru-RU"/>
    </w:rPr>
  </w:style>
  <w:style w:type="character" w:customStyle="1" w:styleId="50">
    <w:name w:val="Заголовок 5 Знак"/>
    <w:basedOn w:val="a0"/>
    <w:link w:val="5"/>
    <w:rPr>
      <w:rFonts w:ascii="Times New Roman" w:eastAsia="Times New Roman" w:hAnsi="Times New Roman" w:cs="Times New Roman"/>
      <w:sz w:val="28"/>
      <w:szCs w:val="20"/>
      <w:lang w:eastAsia="ru-RU"/>
    </w:rPr>
  </w:style>
  <w:style w:type="paragraph" w:customStyle="1" w:styleId="210">
    <w:name w:val="Основной текст 21"/>
    <w:basedOn w:val="a"/>
    <w:pPr>
      <w:spacing w:after="60"/>
      <w:ind w:firstLine="720"/>
      <w:jc w:val="both"/>
    </w:pPr>
    <w:rPr>
      <w:sz w:val="28"/>
    </w:rPr>
  </w:style>
  <w:style w:type="paragraph" w:customStyle="1" w:styleId="211">
    <w:name w:val="Основной текст 21"/>
    <w:basedOn w:val="a"/>
    <w:pPr>
      <w:spacing w:after="60"/>
      <w:ind w:firstLine="720"/>
      <w:jc w:val="both"/>
    </w:pPr>
    <w:rPr>
      <w:sz w:val="28"/>
    </w:rPr>
  </w:style>
  <w:style w:type="paragraph" w:styleId="af4">
    <w:name w:val="header"/>
    <w:basedOn w:val="a"/>
    <w:link w:val="af5"/>
    <w:uiPriority w:val="99"/>
    <w:pPr>
      <w:tabs>
        <w:tab w:val="center" w:pos="4536"/>
        <w:tab w:val="right" w:pos="9072"/>
      </w:tabs>
    </w:pPr>
  </w:style>
  <w:style w:type="character" w:customStyle="1" w:styleId="af5">
    <w:name w:val="Верхний колонтитул Знак"/>
    <w:basedOn w:val="a0"/>
    <w:link w:val="af4"/>
    <w:uiPriority w:val="99"/>
    <w:rPr>
      <w:rFonts w:ascii="Times New Roman" w:eastAsia="Times New Roman" w:hAnsi="Times New Roman" w:cs="Times New Roman"/>
      <w:sz w:val="20"/>
      <w:szCs w:val="20"/>
      <w:lang w:eastAsia="ru-RU"/>
    </w:rPr>
  </w:style>
  <w:style w:type="paragraph" w:customStyle="1" w:styleId="220">
    <w:name w:val="Основной текст 22"/>
    <w:basedOn w:val="a"/>
    <w:pPr>
      <w:spacing w:after="60"/>
      <w:ind w:firstLine="720"/>
      <w:jc w:val="both"/>
    </w:pPr>
    <w:rPr>
      <w:sz w:val="28"/>
    </w:rPr>
  </w:style>
  <w:style w:type="paragraph" w:styleId="af6">
    <w:name w:val="footer"/>
    <w:basedOn w:val="a"/>
    <w:link w:val="af7"/>
    <w:uiPriority w:val="99"/>
    <w:unhideWhenUsed/>
    <w:pPr>
      <w:tabs>
        <w:tab w:val="center" w:pos="4677"/>
        <w:tab w:val="right" w:pos="9355"/>
      </w:tabs>
    </w:pPr>
  </w:style>
  <w:style w:type="character" w:customStyle="1" w:styleId="af7">
    <w:name w:val="Нижний колонтитул Знак"/>
    <w:basedOn w:val="a0"/>
    <w:link w:val="af6"/>
    <w:uiPriority w:val="99"/>
    <w:rPr>
      <w:rFonts w:ascii="Times New Roman" w:eastAsia="Times New Roman" w:hAnsi="Times New Roman" w:cs="Times New Roman"/>
      <w:sz w:val="20"/>
      <w:szCs w:val="20"/>
      <w:lang w:eastAsia="ru-RU"/>
    </w:rPr>
  </w:style>
  <w:style w:type="paragraph" w:styleId="af8">
    <w:name w:val="Body Text"/>
    <w:basedOn w:val="a"/>
    <w:link w:val="af9"/>
    <w:uiPriority w:val="99"/>
    <w:unhideWhenUsed/>
    <w:pPr>
      <w:spacing w:after="120"/>
    </w:pPr>
  </w:style>
  <w:style w:type="character" w:customStyle="1" w:styleId="af9">
    <w:name w:val="Основной текст Знак"/>
    <w:basedOn w:val="a0"/>
    <w:link w:val="af8"/>
    <w:uiPriority w:val="99"/>
    <w:rPr>
      <w:rFonts w:ascii="Times New Roman" w:eastAsia="Times New Roman" w:hAnsi="Times New Roman" w:cs="Times New Roman"/>
      <w:sz w:val="20"/>
      <w:szCs w:val="20"/>
      <w:lang w:eastAsia="ru-RU"/>
    </w:rPr>
  </w:style>
  <w:style w:type="paragraph" w:customStyle="1" w:styleId="140">
    <w:name w:val="Обычный +14 Знак Знак"/>
    <w:basedOn w:val="a"/>
    <w:pPr>
      <w:ind w:firstLine="709"/>
      <w:jc w:val="both"/>
    </w:pPr>
    <w:rPr>
      <w:sz w:val="28"/>
    </w:rPr>
  </w:style>
  <w:style w:type="paragraph" w:customStyle="1" w:styleId="Default">
    <w:name w:val="Default"/>
    <w:pPr>
      <w:spacing w:after="0" w:line="240" w:lineRule="auto"/>
    </w:pPr>
    <w:rPr>
      <w:rFonts w:ascii="Times New Roman" w:hAnsi="Times New Roman" w:cs="Times New Roman"/>
      <w:color w:val="000000"/>
      <w:sz w:val="24"/>
      <w:szCs w:val="24"/>
    </w:rPr>
  </w:style>
  <w:style w:type="paragraph" w:styleId="afa">
    <w:name w:val="footnote text"/>
    <w:basedOn w:val="a"/>
    <w:link w:val="afb"/>
    <w:uiPriority w:val="99"/>
    <w:semiHidden/>
    <w:unhideWhenUsed/>
  </w:style>
  <w:style w:type="character" w:customStyle="1" w:styleId="afb">
    <w:name w:val="Текст сноски Знак"/>
    <w:basedOn w:val="a0"/>
    <w:link w:val="afa"/>
    <w:uiPriority w:val="99"/>
    <w:semiHidden/>
    <w:rPr>
      <w:rFonts w:ascii="Times New Roman" w:eastAsia="Times New Roman" w:hAnsi="Times New Roman" w:cs="Times New Roman"/>
      <w:sz w:val="20"/>
      <w:szCs w:val="20"/>
      <w:lang w:eastAsia="ru-RU"/>
    </w:rPr>
  </w:style>
  <w:style w:type="character" w:styleId="afc">
    <w:name w:val="footnote reference"/>
    <w:semiHidden/>
    <w:qFormat/>
    <w:rPr>
      <w:vertAlign w:val="superscript"/>
    </w:rPr>
  </w:style>
  <w:style w:type="paragraph" w:styleId="afd">
    <w:name w:val="Title"/>
    <w:basedOn w:val="a"/>
    <w:link w:val="afe"/>
    <w:qFormat/>
    <w:pPr>
      <w:spacing w:after="200" w:line="276" w:lineRule="auto"/>
      <w:jc w:val="center"/>
    </w:pPr>
    <w:rPr>
      <w:b/>
      <w:sz w:val="28"/>
    </w:rPr>
  </w:style>
  <w:style w:type="character" w:customStyle="1" w:styleId="afe">
    <w:name w:val="Название Знак"/>
    <w:basedOn w:val="a0"/>
    <w:link w:val="afd"/>
    <w:rPr>
      <w:rFonts w:ascii="Times New Roman" w:eastAsia="Times New Roman" w:hAnsi="Times New Roman" w:cs="Times New Roman"/>
      <w:b/>
      <w:sz w:val="28"/>
      <w:szCs w:val="20"/>
      <w:lang w:eastAsia="ru-RU"/>
    </w:rPr>
  </w:style>
  <w:style w:type="character" w:styleId="aff">
    <w:name w:val="annotation reference"/>
    <w:uiPriority w:val="99"/>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6484CA-A4DA-4D5E-BFE2-DFCFF3930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4012</Words>
  <Characters>22869</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 Вячеславовна Дмитриева</dc:creator>
  <cp:lastModifiedBy>Рыженкова Елена Николаевна</cp:lastModifiedBy>
  <cp:revision>2</cp:revision>
  <dcterms:created xsi:type="dcterms:W3CDTF">2026-08-04T11:31:00Z</dcterms:created>
  <dcterms:modified xsi:type="dcterms:W3CDTF">2026-08-04T11:31:00Z</dcterms:modified>
</cp:coreProperties>
</file>