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C1" w:rsidRDefault="001214C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214C1" w:rsidRDefault="001214C1">
      <w:pPr>
        <w:pStyle w:val="ConsPlusNormal"/>
        <w:outlineLvl w:val="0"/>
      </w:pPr>
    </w:p>
    <w:p w:rsidR="001214C1" w:rsidRDefault="001214C1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1214C1" w:rsidRDefault="001214C1">
      <w:pPr>
        <w:pStyle w:val="ConsPlusTitle"/>
        <w:jc w:val="center"/>
      </w:pPr>
    </w:p>
    <w:p w:rsidR="001214C1" w:rsidRDefault="001214C1">
      <w:pPr>
        <w:pStyle w:val="ConsPlusTitle"/>
        <w:jc w:val="center"/>
      </w:pPr>
      <w:r>
        <w:t>ПОСТАНОВЛЕНИЕ</w:t>
      </w:r>
    </w:p>
    <w:p w:rsidR="001214C1" w:rsidRDefault="001214C1">
      <w:pPr>
        <w:pStyle w:val="ConsPlusTitle"/>
        <w:jc w:val="center"/>
      </w:pPr>
      <w:r>
        <w:t>от 19 июля 2013 г. N 216</w:t>
      </w:r>
    </w:p>
    <w:p w:rsidR="001214C1" w:rsidRDefault="001214C1">
      <w:pPr>
        <w:pStyle w:val="ConsPlusTitle"/>
        <w:jc w:val="center"/>
      </w:pPr>
    </w:p>
    <w:p w:rsidR="001214C1" w:rsidRDefault="001214C1">
      <w:pPr>
        <w:pStyle w:val="ConsPlusTitle"/>
        <w:jc w:val="center"/>
      </w:pPr>
      <w:r>
        <w:t>ОБ УТВЕРЖДЕНИИ МЕТОДИКИ РАСПРЕДЕЛЕНИЯ ДОТАЦИЙ БЮДЖЕТАМ</w:t>
      </w:r>
    </w:p>
    <w:p w:rsidR="001214C1" w:rsidRDefault="001214C1">
      <w:pPr>
        <w:pStyle w:val="ConsPlusTitle"/>
        <w:jc w:val="center"/>
      </w:pPr>
      <w:r>
        <w:t>МУНИЦИПАЛЬНЫХ ОБРАЗОВАНИЙ ЛЕНИНГРАДСКОЙ ОБЛАСТИ НА ПОДДЕРЖКУ</w:t>
      </w:r>
    </w:p>
    <w:p w:rsidR="001214C1" w:rsidRDefault="001214C1">
      <w:pPr>
        <w:pStyle w:val="ConsPlusTitle"/>
        <w:jc w:val="center"/>
      </w:pPr>
      <w:r>
        <w:t>МЕР ПО ОБЕСПЕЧЕНИЮ СБАЛАНСИРОВАННОСТИ БЮДЖЕТОВ МУНИЦИПАЛЬНЫХ</w:t>
      </w:r>
    </w:p>
    <w:p w:rsidR="001214C1" w:rsidRDefault="001214C1">
      <w:pPr>
        <w:pStyle w:val="ConsPlusTitle"/>
        <w:jc w:val="center"/>
      </w:pPr>
      <w:r>
        <w:t>ОБРАЗОВАНИЙ ЛЕНИНГРАДСКОЙ ОБЛАСТИ, ПРЕДОСТАВЛЯЕМЫХ В ЦЕЛЯХ</w:t>
      </w:r>
    </w:p>
    <w:p w:rsidR="001214C1" w:rsidRDefault="001214C1">
      <w:pPr>
        <w:pStyle w:val="ConsPlusTitle"/>
        <w:jc w:val="center"/>
      </w:pPr>
      <w:r>
        <w:t>ФИНАНСОВОГО ОБЕСПЕЧЕНИЯ ИСПОЛНЕНИЯ РАСХОДНЫХ ОБЯЗАТЕЛЬСТВ</w:t>
      </w:r>
    </w:p>
    <w:p w:rsidR="001214C1" w:rsidRDefault="001214C1">
      <w:pPr>
        <w:pStyle w:val="ConsPlusTitle"/>
        <w:jc w:val="center"/>
      </w:pPr>
      <w:r>
        <w:t>МУНИЦИПАЛЬНЫХ РАЙОНОВ (МУНИЦИПАЛЬНЫХ ОКРУГОВ,</w:t>
      </w:r>
    </w:p>
    <w:p w:rsidR="001214C1" w:rsidRDefault="001214C1">
      <w:pPr>
        <w:pStyle w:val="ConsPlusTitle"/>
        <w:jc w:val="center"/>
      </w:pPr>
      <w:r>
        <w:t>ГОРОДСКИХ ОКРУГОВ) ПРИ НЕДОСТАТКЕ СОБСТВЕННЫХ ДОХОДОВ</w:t>
      </w:r>
    </w:p>
    <w:p w:rsidR="001214C1" w:rsidRDefault="001214C1">
      <w:pPr>
        <w:pStyle w:val="ConsPlusTitle"/>
        <w:jc w:val="center"/>
      </w:pPr>
      <w:r>
        <w:t>БЮДЖЕТОВ МУНИЦИПАЛЬНЫХ РАЙОНОВ (МУНИЦИПАЛЬНЫХ ОКРУГОВ,</w:t>
      </w:r>
    </w:p>
    <w:p w:rsidR="001214C1" w:rsidRDefault="001214C1">
      <w:pPr>
        <w:pStyle w:val="ConsPlusTitle"/>
        <w:jc w:val="center"/>
      </w:pPr>
      <w:r>
        <w:t>ГОРОДСКИХ ОКРУГОВ), И ПРАВИЛ ИХ ПРЕДОСТАВЛЕНИЯ</w:t>
      </w:r>
    </w:p>
    <w:p w:rsidR="001214C1" w:rsidRDefault="001214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214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20.10.2014 </w:t>
            </w:r>
            <w:hyperlink r:id="rId5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23.06.2016 </w:t>
            </w:r>
            <w:hyperlink r:id="rId6">
              <w:r>
                <w:rPr>
                  <w:color w:val="0000FF"/>
                </w:rPr>
                <w:t>N 198</w:t>
              </w:r>
            </w:hyperlink>
            <w:r>
              <w:rPr>
                <w:color w:val="392C69"/>
              </w:rPr>
              <w:t xml:space="preserve">, от 14.09.2016 </w:t>
            </w:r>
            <w:hyperlink r:id="rId7">
              <w:r>
                <w:rPr>
                  <w:color w:val="0000FF"/>
                </w:rPr>
                <w:t>N 349</w:t>
              </w:r>
            </w:hyperlink>
            <w:r>
              <w:rPr>
                <w:color w:val="392C69"/>
              </w:rPr>
              <w:t>,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02.11.2016 </w:t>
            </w:r>
            <w:hyperlink r:id="rId8">
              <w:r>
                <w:rPr>
                  <w:color w:val="0000FF"/>
                </w:rPr>
                <w:t>N 414</w:t>
              </w:r>
            </w:hyperlink>
            <w:r>
              <w:rPr>
                <w:color w:val="392C69"/>
              </w:rPr>
              <w:t xml:space="preserve">, от 25.05.2017 </w:t>
            </w:r>
            <w:hyperlink r:id="rId9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09.09.2019 </w:t>
            </w:r>
            <w:hyperlink r:id="rId10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>,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18.05.2020 </w:t>
            </w:r>
            <w:hyperlink r:id="rId11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13.10.2023 </w:t>
            </w:r>
            <w:hyperlink r:id="rId12">
              <w:r>
                <w:rPr>
                  <w:color w:val="0000FF"/>
                </w:rPr>
                <w:t>N 703</w:t>
              </w:r>
            </w:hyperlink>
            <w:r>
              <w:rPr>
                <w:color w:val="392C69"/>
              </w:rPr>
              <w:t xml:space="preserve">, от 23.09.2024 </w:t>
            </w:r>
            <w:hyperlink r:id="rId13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21.08.2025 </w:t>
            </w:r>
            <w:hyperlink r:id="rId14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 xml:space="preserve">, от 05.05.2026 </w:t>
            </w:r>
            <w:hyperlink r:id="rId15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21.08.2026 </w:t>
            </w:r>
            <w:hyperlink r:id="rId16">
              <w:r>
                <w:rPr>
                  <w:color w:val="0000FF"/>
                </w:rPr>
                <w:t>N 668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</w:tr>
    </w:tbl>
    <w:p w:rsidR="001214C1" w:rsidRDefault="001214C1">
      <w:pPr>
        <w:pStyle w:val="ConsPlusNormal"/>
        <w:jc w:val="center"/>
      </w:pPr>
    </w:p>
    <w:p w:rsidR="001214C1" w:rsidRDefault="001214C1">
      <w:pPr>
        <w:pStyle w:val="ConsPlusNormal"/>
        <w:ind w:firstLine="540"/>
        <w:jc w:val="both"/>
      </w:pPr>
      <w:r>
        <w:t xml:space="preserve">В соответствии со </w:t>
      </w:r>
      <w:hyperlink r:id="rId17">
        <w:r>
          <w:rPr>
            <w:color w:val="0000FF"/>
          </w:rPr>
          <w:t>статьей 138.4</w:t>
        </w:r>
      </w:hyperlink>
      <w:r>
        <w:t xml:space="preserve"> Бюджетного кодекса Российской Федерации Правительство Ленинградской области постановляет: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18.05.2020 N 296)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48">
        <w:r>
          <w:rPr>
            <w:color w:val="0000FF"/>
          </w:rPr>
          <w:t>Методику</w:t>
        </w:r>
      </w:hyperlink>
      <w:r>
        <w:t xml:space="preserve"> распределения дотаций бюджетам муниципальных образований Ленинградской области на поддержку мер по обеспечению сбалансированности бюджетов муниципальных образований Ленинградской области, предоставляемых в целях финансового обеспечения исполнения расходных обязательств муниципальных районов (муниципальных округов, городских округов) при недостатке собственных доходов бюджетов муниципальных районов (муниципальных округов, городских округов), и правила их предоставления.</w:t>
      </w:r>
    </w:p>
    <w:p w:rsidR="001214C1" w:rsidRDefault="001214C1">
      <w:pPr>
        <w:pStyle w:val="ConsPlusNormal"/>
        <w:jc w:val="both"/>
      </w:pPr>
      <w:r>
        <w:t xml:space="preserve">(в ред. Постановлений Правительства Ленинградской области от 18.05.2020 </w:t>
      </w:r>
      <w:hyperlink r:id="rId19">
        <w:r>
          <w:rPr>
            <w:color w:val="0000FF"/>
          </w:rPr>
          <w:t>N 296</w:t>
        </w:r>
      </w:hyperlink>
      <w:r>
        <w:t xml:space="preserve">, от 23.09.2024 </w:t>
      </w:r>
      <w:hyperlink r:id="rId20">
        <w:r>
          <w:rPr>
            <w:color w:val="0000FF"/>
          </w:rPr>
          <w:t>N 663</w:t>
        </w:r>
      </w:hyperlink>
      <w:r>
        <w:t>)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 xml:space="preserve">1.1.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23.09.2024 N 663.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1.2. Установить, что распределение дотаций бюджетам муниципальных образований Ленинградской области на поддержку мер по обеспечению сбалансированности бюджетов муниципальных образований Ленинградской области, предоставляемых в целях финансового обеспечения исполнения расходных обязательств муниципальных районов (муниципальных округов, городских округов) при недостатке собственных доходов бюджетов муниципальных районов (муниципальных округов, городских округов), в 2026 году утверждается распоряжением Правительства Ленинградской области до 1 октября текущего финансового года.</w:t>
      </w:r>
    </w:p>
    <w:p w:rsidR="001214C1" w:rsidRDefault="001214C1">
      <w:pPr>
        <w:pStyle w:val="ConsPlusNormal"/>
        <w:jc w:val="both"/>
      </w:pPr>
      <w:r>
        <w:t xml:space="preserve">(п. 1.2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21.08.2025 N 723;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21.08.2026 N 668)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02.11.2016 N 414.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 xml:space="preserve">3. Контроль за исполнением постановления возложить на первого вице-губернатора </w:t>
      </w:r>
      <w:r>
        <w:lastRenderedPageBreak/>
        <w:t>Ленинградской области - заместителя Председателя Правительства Ленинградской области - председателя комитета финансов Ленинградской области.</w:t>
      </w:r>
    </w:p>
    <w:p w:rsidR="001214C1" w:rsidRDefault="001214C1">
      <w:pPr>
        <w:pStyle w:val="ConsPlusNormal"/>
        <w:jc w:val="both"/>
      </w:pPr>
      <w:r>
        <w:t xml:space="preserve">(п. 3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05.05.2026 N 378)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right"/>
      </w:pPr>
      <w:r>
        <w:t>Губернатор</w:t>
      </w:r>
    </w:p>
    <w:p w:rsidR="001214C1" w:rsidRDefault="001214C1">
      <w:pPr>
        <w:pStyle w:val="ConsPlusNormal"/>
        <w:jc w:val="right"/>
      </w:pPr>
      <w:r>
        <w:t>Ленинградской области</w:t>
      </w:r>
    </w:p>
    <w:p w:rsidR="001214C1" w:rsidRDefault="001214C1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1214C1" w:rsidRDefault="001214C1">
      <w:pPr>
        <w:pStyle w:val="ConsPlusNormal"/>
        <w:jc w:val="right"/>
      </w:pPr>
    </w:p>
    <w:p w:rsidR="001214C1" w:rsidRDefault="001214C1">
      <w:pPr>
        <w:pStyle w:val="ConsPlusNormal"/>
        <w:jc w:val="right"/>
      </w:pPr>
    </w:p>
    <w:p w:rsidR="001214C1" w:rsidRDefault="001214C1">
      <w:pPr>
        <w:pStyle w:val="ConsPlusNormal"/>
        <w:jc w:val="right"/>
      </w:pPr>
    </w:p>
    <w:p w:rsidR="001214C1" w:rsidRDefault="001214C1">
      <w:pPr>
        <w:pStyle w:val="ConsPlusNormal"/>
        <w:jc w:val="right"/>
      </w:pPr>
    </w:p>
    <w:p w:rsidR="001214C1" w:rsidRDefault="001214C1">
      <w:pPr>
        <w:pStyle w:val="ConsPlusNormal"/>
        <w:jc w:val="right"/>
      </w:pPr>
    </w:p>
    <w:p w:rsidR="001214C1" w:rsidRDefault="001214C1">
      <w:pPr>
        <w:pStyle w:val="ConsPlusNormal"/>
        <w:jc w:val="right"/>
        <w:outlineLvl w:val="0"/>
      </w:pPr>
      <w:r>
        <w:t>УТВЕРЖДЕНА</w:t>
      </w:r>
    </w:p>
    <w:p w:rsidR="001214C1" w:rsidRDefault="001214C1">
      <w:pPr>
        <w:pStyle w:val="ConsPlusNormal"/>
        <w:jc w:val="right"/>
      </w:pPr>
      <w:r>
        <w:t>постановлением Правительства</w:t>
      </w:r>
    </w:p>
    <w:p w:rsidR="001214C1" w:rsidRDefault="001214C1">
      <w:pPr>
        <w:pStyle w:val="ConsPlusNormal"/>
        <w:jc w:val="right"/>
      </w:pPr>
      <w:r>
        <w:t>Ленинградской области</w:t>
      </w:r>
    </w:p>
    <w:p w:rsidR="001214C1" w:rsidRDefault="001214C1">
      <w:pPr>
        <w:pStyle w:val="ConsPlusNormal"/>
        <w:jc w:val="right"/>
      </w:pPr>
      <w:r>
        <w:t>от 19.07.2013 N 216</w:t>
      </w:r>
    </w:p>
    <w:p w:rsidR="001214C1" w:rsidRDefault="001214C1">
      <w:pPr>
        <w:pStyle w:val="ConsPlusNormal"/>
        <w:jc w:val="right"/>
      </w:pPr>
      <w:r>
        <w:t>(приложение)</w:t>
      </w:r>
    </w:p>
    <w:p w:rsidR="001214C1" w:rsidRDefault="001214C1">
      <w:pPr>
        <w:pStyle w:val="ConsPlusNormal"/>
      </w:pPr>
    </w:p>
    <w:p w:rsidR="001214C1" w:rsidRDefault="001214C1">
      <w:pPr>
        <w:pStyle w:val="ConsPlusTitle"/>
        <w:jc w:val="center"/>
      </w:pPr>
      <w:bookmarkStart w:id="1" w:name="P48"/>
      <w:bookmarkEnd w:id="1"/>
      <w:r>
        <w:t>МЕТОДИКА</w:t>
      </w:r>
    </w:p>
    <w:p w:rsidR="001214C1" w:rsidRDefault="001214C1">
      <w:pPr>
        <w:pStyle w:val="ConsPlusTitle"/>
        <w:jc w:val="center"/>
      </w:pPr>
      <w:r>
        <w:t>РАСПРЕДЕЛЕНИЯ ДОТАЦИЙ БЮДЖЕТАМ МУНИЦИПАЛЬНЫХ ОБРАЗОВАНИЙ</w:t>
      </w:r>
    </w:p>
    <w:p w:rsidR="001214C1" w:rsidRDefault="001214C1">
      <w:pPr>
        <w:pStyle w:val="ConsPlusTitle"/>
        <w:jc w:val="center"/>
      </w:pPr>
      <w:r>
        <w:t>ЛЕНИНГРАДСКОЙ ОБЛАСТИ НА ПОДДЕРЖКУ МЕР ПО ОБЕСПЕЧЕНИЮ</w:t>
      </w:r>
    </w:p>
    <w:p w:rsidR="001214C1" w:rsidRDefault="001214C1">
      <w:pPr>
        <w:pStyle w:val="ConsPlusTitle"/>
        <w:jc w:val="center"/>
      </w:pPr>
      <w:r>
        <w:t>СБАЛАНСИРОВАННОСТИ БЮДЖЕТОВ МУНИЦИПАЛЬНЫХ ОБРАЗОВАНИЙ</w:t>
      </w:r>
    </w:p>
    <w:p w:rsidR="001214C1" w:rsidRDefault="001214C1">
      <w:pPr>
        <w:pStyle w:val="ConsPlusTitle"/>
        <w:jc w:val="center"/>
      </w:pPr>
      <w:r>
        <w:t>ЛЕНИНГРАДСКОЙ ОБЛАСТИ, ПРЕДОСТАВЛЯЕМЫХ В ЦЕЛЯХ ФИНАНСОВОГО</w:t>
      </w:r>
    </w:p>
    <w:p w:rsidR="001214C1" w:rsidRDefault="001214C1">
      <w:pPr>
        <w:pStyle w:val="ConsPlusTitle"/>
        <w:jc w:val="center"/>
      </w:pPr>
      <w:r>
        <w:t>ОБЕСПЕЧЕНИЯ ИСПОЛНЕНИЯ РАСХОДНЫХ ОБЯЗАТЕЛЬСТВ МУНИЦИПАЛЬНЫХ</w:t>
      </w:r>
    </w:p>
    <w:p w:rsidR="001214C1" w:rsidRDefault="001214C1">
      <w:pPr>
        <w:pStyle w:val="ConsPlusTitle"/>
        <w:jc w:val="center"/>
      </w:pPr>
      <w:r>
        <w:t>РАЙОНОВ (МУНИЦИПАЛЬНЫХ ОКРУГОВ, ГОРОДСКИХ ОКРУГОВ)</w:t>
      </w:r>
    </w:p>
    <w:p w:rsidR="001214C1" w:rsidRDefault="001214C1">
      <w:pPr>
        <w:pStyle w:val="ConsPlusTitle"/>
        <w:jc w:val="center"/>
      </w:pPr>
      <w:r>
        <w:t>ПРИ НЕДОСТАТКЕ СОБСТВЕННЫХ ДОХОДОВ БЮДЖЕТОВ МУНИЦИПАЛЬНЫХ</w:t>
      </w:r>
    </w:p>
    <w:p w:rsidR="001214C1" w:rsidRDefault="001214C1">
      <w:pPr>
        <w:pStyle w:val="ConsPlusTitle"/>
        <w:jc w:val="center"/>
      </w:pPr>
      <w:r>
        <w:t>РАЙОНОВ (МУНИЦИПАЛЬНЫХ ОКРУГОВ, ГОРОДСКИХ ОКРУГОВ),</w:t>
      </w:r>
    </w:p>
    <w:p w:rsidR="001214C1" w:rsidRDefault="001214C1">
      <w:pPr>
        <w:pStyle w:val="ConsPlusTitle"/>
        <w:jc w:val="center"/>
      </w:pPr>
      <w:r>
        <w:t>И ПРАВИЛА ИХ ПРЕДОСТАВЛЕНИЯ</w:t>
      </w:r>
    </w:p>
    <w:p w:rsidR="001214C1" w:rsidRDefault="001214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214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18.05.2020 </w:t>
            </w:r>
            <w:hyperlink r:id="rId26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23.09.2024 </w:t>
            </w:r>
            <w:hyperlink r:id="rId27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 xml:space="preserve">, от 21.08.2025 </w:t>
            </w:r>
            <w:hyperlink r:id="rId28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1214C1" w:rsidRDefault="001214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21.08.2026 </w:t>
            </w:r>
            <w:hyperlink r:id="rId29">
              <w:r>
                <w:rPr>
                  <w:color w:val="0000FF"/>
                </w:rPr>
                <w:t>N 668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14C1" w:rsidRDefault="001214C1">
            <w:pPr>
              <w:pStyle w:val="ConsPlusNormal"/>
            </w:pPr>
          </w:p>
        </w:tc>
      </w:tr>
    </w:tbl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Настоящая Методика определяет методику распределения дотаций бюджетам муниципальных образований Ленинградской области на поддержку мер по обеспечению сбалансированности бюджетов муниципальных образований Ленинградской области, предоставляемых в целях финансового обеспечения исполнения расходных обязательств муниципальных районов (муниципальных округов, городских округов) при недостатке собственных доходов бюджетов муниципальных районов (муниципальных округов, городских округов) (далее - дотации), и правила их предоставления.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Title"/>
        <w:jc w:val="center"/>
        <w:outlineLvl w:val="1"/>
      </w:pPr>
      <w:r>
        <w:t>1. Методика распределения дотаций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1.1. Дотации предоставляются для обеспечения сбалансированности бюджетов муниципальных районов (муниципальных округов, городских округов) Ленинградской области (далее - муниципальные образования).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  <w:spacing w:before="220"/>
        <w:ind w:firstLine="540"/>
        <w:jc w:val="both"/>
      </w:pPr>
      <w:bookmarkStart w:id="2" w:name="P70"/>
      <w:bookmarkEnd w:id="2"/>
      <w:r>
        <w:t>1.2. Муниципальное образование имеет право на получение дотации при выполнении следующих условий: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lastRenderedPageBreak/>
        <w:t>соблюдение в текущем финансовом году требований бюджетного законодательства к предельному размеру дефицита бюджета муниципального образования, размеру муниципального долга;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соблюдение в отчетном финансовом году установленного Правительством Ленинградской области для муниципального образования норматива формирования расходов на содержание органов местного самоуправления;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 xml:space="preserve">темп </w:t>
      </w:r>
      <w:proofErr w:type="gramStart"/>
      <w:r>
        <w:t>роста</w:t>
      </w:r>
      <w:proofErr w:type="gramEnd"/>
      <w:r>
        <w:t xml:space="preserve"> прогнозируемого на текущий финансовый год объема налоговых доходов, неналоговых доходов (за исключением доходов от продажи материальных и нематериальных активов), дотации на выравнивание бюджетной обеспеченности бюджета муниципального образования (далее - собственные доходы бюджета муниципального образования) к фактическому объему собственных доходов бюджета муниципального образования за отчетный финансовый год не превышает прогнозируемый индекс-дефлятор;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расчетный дефицит бюджета муниципального образования в текущем финансовом году превышает пять процентов суммы собственных доходов бюджета муниципального образования.</w:t>
      </w:r>
    </w:p>
    <w:p w:rsidR="001214C1" w:rsidRDefault="001214C1">
      <w:pPr>
        <w:pStyle w:val="ConsPlusNormal"/>
        <w:jc w:val="both"/>
      </w:pPr>
      <w:r>
        <w:t xml:space="preserve">(п. 1.2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21.08.2026 N 668)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1.3. Для расчета распределения дотации используются следующие показатели:</w:t>
      </w:r>
    </w:p>
    <w:p w:rsidR="001214C1" w:rsidRDefault="001214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2"/>
        <w:gridCol w:w="5159"/>
      </w:tblGrid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  <w:jc w:val="center"/>
            </w:pPr>
            <w:r>
              <w:t>Источник информации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  <w:jc w:val="center"/>
            </w:pPr>
            <w:r>
              <w:t>3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Общий объем доходов бюджета муниципального образования на текущий финансовый год,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Общий объем безвозмездных поступлений в бюджет муниципального образования на текущий финансовый год,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Объем поступлений налоговых доходов по дополнительным нормативам отчислений от налога на доходы физических лиц в бюджет муниципального образования на текущий финансовый год, тыс. рублей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 xml:space="preserve">приложение к областному закону об областном бюджете Ленинградской области на текущий финансовый год и на плановый период о </w:t>
            </w:r>
            <w:r>
              <w:lastRenderedPageBreak/>
              <w:t>дополнительных нормативах отчислений от налога на доходы физических лиц, заменяющих дотации на выравнивание бюджетной обеспеченности муниципальных районов (муниципальных округов, городских округов), на текущий финансовый год и на плановый период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23.09.2024 N 663)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Объем дефицита бюджета муниципального образования на текущий финансовый год,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Источники финансирования дефицита бюджета муниципального образования в текущем финансовом году, тыс. рублей:</w:t>
            </w:r>
          </w:p>
          <w:p w:rsidR="001214C1" w:rsidRDefault="001214C1">
            <w:pPr>
              <w:pStyle w:val="ConsPlusNormal"/>
            </w:pPr>
            <w:r>
              <w:t>изменение остатков средств на счетах по учету средств местного бюджета в течение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поступления от продажи акций и иных форм участия в капитале, находящихся в собственности муниципального образования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года;</w:t>
            </w:r>
          </w:p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Предельный объем муниципального долга, тыс. рублей:</w:t>
            </w:r>
          </w:p>
          <w:p w:rsidR="001214C1" w:rsidRDefault="001214C1">
            <w:pPr>
              <w:pStyle w:val="ConsPlusNormal"/>
            </w:pPr>
            <w:r>
              <w:t>на 1 января очередного финансового года;</w:t>
            </w:r>
          </w:p>
          <w:p w:rsidR="001214C1" w:rsidRDefault="001214C1">
            <w:pPr>
              <w:pStyle w:val="ConsPlusNormal"/>
            </w:pPr>
            <w:r>
              <w:t>в течение текущего финансового года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 xml:space="preserve">Решения представительного органа местного самоуправления муниципального образования об утверждении местного бюджета на текущий финансовый год и </w:t>
            </w:r>
            <w:proofErr w:type="gramStart"/>
            <w:r>
              <w:t>на плановый период</w:t>
            </w:r>
            <w:proofErr w:type="gramEnd"/>
            <w:r>
              <w:t xml:space="preserve"> и о внесении изменений в него по состоянию на 1 июля текущего финансового года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Численность населения муниципального образования, человек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Данные Управления Федеральной службы государственной статистики по г. Санкт-Петербургу и Ленинградской области на 1 января отчетного финансового года, используемые в расчете распределения дотаций на выравнивание бюджетной обеспеченности муниципальных районов (муниципальных округов, городских округов) на текущий финансовый год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23.09.2024 N 663)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Индекс бюджетных расходов муниципального образования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 xml:space="preserve">Расчет распределения дотаций на выравнивание бюджетной обеспеченности муниципальных районов (муниципальных округов, городских округов) на текущий финансовый год в составе </w:t>
            </w:r>
            <w:r>
              <w:lastRenderedPageBreak/>
              <w:t>пояснительной записки к проекту областного закона об областном бюджете Ленинградской области на текущий финансовый год и на плановый период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23.09.2024 N 663)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объем налоговых доходов бюджета муниципального образования по состоянию на 1 июля текущего финансового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по состоянию на 1 июля текущего финансового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годовой объем налоговых доходов бюджета муниципального образования за три последних отчетных финансовых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Годовые отчеты об исполнении бюджета муниципального образования за три последних отчетных финансовых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объем налоговых доходов бюджета муниципального образования по состоянию на 1 июля за три последних отчетных финансовых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Отчеты об исполнении бюджета муниципального образования по состоянию на 1 июля за три последних отчетных финансовых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объем неналоговых доходов (без учета доходов от продажи материальных и нематериальных активов) бюджета муниципального образования по состоянию на 1 июля текущего финансового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Отчеты об исполнении бюджета муниципального образования по состоянию на 1 июля текущего финансового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годовой объем неналоговых доходов (без учета доходов от продажи материальных и нематериальных активов) бюджета муниципального образования за три последних отчетных финансовых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Годовые отчеты об исполнении бюджета муниципального образования за три последних отчетных финансовых года</w:t>
            </w:r>
          </w:p>
        </w:tc>
      </w:tr>
      <w:tr w:rsidR="001214C1">
        <w:tc>
          <w:tcPr>
            <w:tcW w:w="510" w:type="dxa"/>
          </w:tcPr>
          <w:p w:rsidR="001214C1" w:rsidRDefault="001214C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1214C1" w:rsidRDefault="001214C1">
            <w:pPr>
              <w:pStyle w:val="ConsPlusNormal"/>
            </w:pPr>
            <w:r>
              <w:t>Фактический объем неналоговых доходов (без учета доходов от продажи материальных и нематериальных активов) бюджета муниципального образования по состоянию на 1 июля за три последних отчетных финансовых года, тыс. рублей</w:t>
            </w:r>
          </w:p>
        </w:tc>
        <w:tc>
          <w:tcPr>
            <w:tcW w:w="5159" w:type="dxa"/>
          </w:tcPr>
          <w:p w:rsidR="001214C1" w:rsidRDefault="001214C1">
            <w:pPr>
              <w:pStyle w:val="ConsPlusNormal"/>
            </w:pPr>
            <w:r>
              <w:t>Отчеты об исполнении бюджета муниципального образования по состоянию на 1 июля за три последних отчетных финансовых года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 xml:space="preserve">Объем дотации на выравнивание бюджетной обеспеченности муниципальных районов </w:t>
            </w:r>
            <w:r>
              <w:lastRenderedPageBreak/>
              <w:t>(муниципальных округов, городских округов) на текущий финансовый год, тыс. рублей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lastRenderedPageBreak/>
              <w:t xml:space="preserve">Приложение к областному закону об областном бюджете Ленинградской области на текущий финансовый год и на плановый период о </w:t>
            </w:r>
            <w:r>
              <w:lastRenderedPageBreak/>
              <w:t>распределении дотаций на выравнивание бюджетной обеспеченности муниципальных районов (муниципальных округов, городских округов) на текущий финансовый год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Ленинградской области от 23.09.2024 N 663)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Общий объем расходов бюджета муниципального образования на текущий финансовый год, тыс. рублей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Отчет об исполнении бюджета муниципального образования на 1 июля текущего финансового года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t xml:space="preserve">(п. 16 введен </w:t>
            </w:r>
            <w:hyperlink r:id="rId3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21.08.2025 N 723)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Общий объем принятых бюджетных обязательств бюджета муниципального образования на текущий финансовый год, тыс. рублей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Информация о принятых на учет бюджетных обязательствах бюджета муниципального образования по состоянию на 1 июля текущего финансового года, размещенная на едином портале бюджетной системы Российской Федерации с использованием государственной интегрированной информационной системы управления общественными финансами "Электронный бюджет"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t xml:space="preserve">(п. 17 введен </w:t>
            </w:r>
            <w:hyperlink r:id="rId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21.08.2025 N 723)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Фактический годовой объем дотации на выравнивание бюджетной обеспеченности муниципальных районов (муниципальных округов, городских округов) за отчетный финансовый год, тыс. рублей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Годовой отчет об исполнении бюджета муниципального образования за отчетный финансовый год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t xml:space="preserve">(п. 18 введен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21.08.2026 N 668)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1214C1" w:rsidRDefault="001214C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2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Прогнозируемый индекс-дефлятор, используемый при формировании проекта областного бюджета Ленинградской области на текущий финансовый год и на плановый период</w:t>
            </w:r>
          </w:p>
        </w:tc>
        <w:tc>
          <w:tcPr>
            <w:tcW w:w="5159" w:type="dxa"/>
            <w:tcBorders>
              <w:bottom w:val="nil"/>
            </w:tcBorders>
          </w:tcPr>
          <w:p w:rsidR="001214C1" w:rsidRDefault="001214C1">
            <w:pPr>
              <w:pStyle w:val="ConsPlusNormal"/>
            </w:pPr>
            <w:r>
              <w:t>Основные параметры прогноза социально-экономического развития Ленинградской области на текущий финансовый год и на плановый период</w:t>
            </w:r>
          </w:p>
        </w:tc>
      </w:tr>
      <w:tr w:rsidR="001214C1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1214C1" w:rsidRDefault="001214C1">
            <w:pPr>
              <w:pStyle w:val="ConsPlusNormal"/>
              <w:jc w:val="both"/>
            </w:pPr>
            <w:r>
              <w:t xml:space="preserve">(п. 19 введен </w:t>
            </w:r>
            <w:hyperlink r:id="rId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21.08.2026 N 668)</w:t>
            </w:r>
          </w:p>
        </w:tc>
      </w:tr>
    </w:tbl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1.4. Размер дотации, предоставляемой бюджету муниципального образования, имеющему право на ее получение, определяется по следующим формулам: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r>
        <w:rPr>
          <w:noProof/>
          <w:position w:val="-35"/>
        </w:rPr>
        <w:drawing>
          <wp:inline distT="0" distB="0" distL="0" distR="0">
            <wp:extent cx="2263140" cy="5867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1" w:rsidRDefault="001214C1">
      <w:pPr>
        <w:pStyle w:val="ConsPlusNormal"/>
        <w:jc w:val="both"/>
      </w:pPr>
    </w:p>
    <w:p w:rsidR="001214C1" w:rsidRDefault="001214C1">
      <w:pPr>
        <w:pStyle w:val="ConsPlusNormal"/>
        <w:jc w:val="center"/>
      </w:pPr>
      <w:proofErr w:type="spellStart"/>
      <w:r>
        <w:t>Д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R</w:t>
      </w:r>
      <w:r>
        <w:rPr>
          <w:vertAlign w:val="subscript"/>
        </w:rPr>
        <w:t>i</w:t>
      </w:r>
      <w:proofErr w:type="spellEnd"/>
      <w:r>
        <w:t xml:space="preserve"> в иных случаях,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lastRenderedPageBreak/>
        <w:t>Д</w:t>
      </w:r>
      <w:r>
        <w:rPr>
          <w:vertAlign w:val="subscript"/>
        </w:rPr>
        <w:t>i</w:t>
      </w:r>
      <w:proofErr w:type="spellEnd"/>
      <w:r>
        <w:t xml:space="preserve"> - размер дотации, предоставляемой бюджету i-</w:t>
      </w:r>
      <w:proofErr w:type="spellStart"/>
      <w:r>
        <w:t>го</w:t>
      </w:r>
      <w:proofErr w:type="spellEnd"/>
      <w:r>
        <w:t xml:space="preserve"> муниципального образования, имеющему право на ее получение;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Д - объем дотации, утвержденной на текущий финансовый год областным законом об областном бюджете Ленинградской области на текущий финансовый год и на плановый период;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i</w:t>
      </w:r>
      <w:proofErr w:type="spellEnd"/>
      <w:r>
        <w:t xml:space="preserve"> - скорректированный расчетный дефицит бюджета i-</w:t>
      </w:r>
      <w:proofErr w:type="spellStart"/>
      <w:r>
        <w:t>го</w:t>
      </w:r>
      <w:proofErr w:type="spellEnd"/>
      <w:r>
        <w:t xml:space="preserve"> муниципального образования.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1.5. Скорректированный расчетный дефицит бюджета i-</w:t>
      </w:r>
      <w:proofErr w:type="spellStart"/>
      <w:r>
        <w:t>го</w:t>
      </w:r>
      <w:proofErr w:type="spellEnd"/>
      <w:r>
        <w:t xml:space="preserve"> муниципального образования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proofErr w:type="spellStart"/>
      <w:r>
        <w:t>R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РД</w:t>
      </w:r>
      <w:r>
        <w:rPr>
          <w:vertAlign w:val="subscript"/>
        </w:rPr>
        <w:t>i</w:t>
      </w:r>
      <w:proofErr w:type="spellEnd"/>
      <w:r>
        <w:t xml:space="preserve"> - 0,05 x </w:t>
      </w:r>
      <w:proofErr w:type="spellStart"/>
      <w:r>
        <w:t>СД</w:t>
      </w:r>
      <w:r>
        <w:rPr>
          <w:vertAlign w:val="subscript"/>
        </w:rPr>
        <w:t>i</w:t>
      </w:r>
      <w:proofErr w:type="spellEnd"/>
      <w:r>
        <w:t>,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РД</w:t>
      </w:r>
      <w:r>
        <w:rPr>
          <w:vertAlign w:val="subscript"/>
        </w:rPr>
        <w:t>i</w:t>
      </w:r>
      <w:proofErr w:type="spellEnd"/>
      <w:r>
        <w:t xml:space="preserve"> - расчетный дефицит бюджета i-</w:t>
      </w:r>
      <w:proofErr w:type="spellStart"/>
      <w:r>
        <w:t>го</w:t>
      </w:r>
      <w:proofErr w:type="spellEnd"/>
      <w:r>
        <w:t xml:space="preserve"> муниципального образования, соответствующий требованиям, установленным </w:t>
      </w:r>
      <w:hyperlink w:anchor="P70">
        <w:r>
          <w:rPr>
            <w:color w:val="0000FF"/>
          </w:rPr>
          <w:t>пунктом 1.2</w:t>
        </w:r>
      </w:hyperlink>
      <w:r>
        <w:t xml:space="preserve"> настоящей Методики;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СД</w:t>
      </w:r>
      <w:r>
        <w:rPr>
          <w:vertAlign w:val="subscript"/>
        </w:rPr>
        <w:t>i</w:t>
      </w:r>
      <w:proofErr w:type="spellEnd"/>
      <w:r>
        <w:t xml:space="preserve"> - прогнозируемый на текущий финансовый год объем собственных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образования, соответствующий требованиям, установленным </w:t>
      </w:r>
      <w:hyperlink w:anchor="P70">
        <w:r>
          <w:rPr>
            <w:color w:val="0000FF"/>
          </w:rPr>
          <w:t>пунктом 1.2</w:t>
        </w:r>
      </w:hyperlink>
      <w:r>
        <w:t xml:space="preserve"> настоящей Методики.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21.08.2026 N 668)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1.6. Расчетный дефицит бюджета муниципального образования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proofErr w:type="spellStart"/>
      <w:r>
        <w:t>РД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СР</w:t>
      </w:r>
      <w:r>
        <w:rPr>
          <w:vertAlign w:val="subscript"/>
        </w:rPr>
        <w:t>i</w:t>
      </w:r>
      <w:proofErr w:type="spellEnd"/>
      <w:r>
        <w:t xml:space="preserve"> - </w:t>
      </w:r>
      <w:proofErr w:type="spellStart"/>
      <w:r>
        <w:t>СД</w:t>
      </w:r>
      <w:r>
        <w:rPr>
          <w:vertAlign w:val="subscript"/>
        </w:rPr>
        <w:t>i</w:t>
      </w:r>
      <w:proofErr w:type="spellEnd"/>
      <w:r>
        <w:t xml:space="preserve">, если </w:t>
      </w:r>
      <w:proofErr w:type="spellStart"/>
      <w:r>
        <w:t>РД</w:t>
      </w:r>
      <w:r>
        <w:rPr>
          <w:vertAlign w:val="subscript"/>
        </w:rPr>
        <w:t>i</w:t>
      </w:r>
      <w:proofErr w:type="spellEnd"/>
      <w:r>
        <w:t xml:space="preserve"> &lt;= 0,15 x </w:t>
      </w:r>
      <w:proofErr w:type="spellStart"/>
      <w:r>
        <w:t>СД</w:t>
      </w:r>
      <w:r>
        <w:rPr>
          <w:vertAlign w:val="subscript"/>
        </w:rPr>
        <w:t>i</w:t>
      </w:r>
      <w:proofErr w:type="spellEnd"/>
      <w:r>
        <w:t>,</w:t>
      </w:r>
    </w:p>
    <w:p w:rsidR="001214C1" w:rsidRDefault="001214C1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</w:t>
      </w:r>
    </w:p>
    <w:p w:rsidR="001214C1" w:rsidRDefault="001214C1">
      <w:pPr>
        <w:pStyle w:val="ConsPlusNormal"/>
        <w:jc w:val="center"/>
      </w:pPr>
      <w:r>
        <w:t>от 21.08.2025 N 723)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proofErr w:type="spellStart"/>
      <w:r>
        <w:t>РД</w:t>
      </w:r>
      <w:r>
        <w:rPr>
          <w:vertAlign w:val="subscript"/>
        </w:rPr>
        <w:t>i</w:t>
      </w:r>
      <w:proofErr w:type="spellEnd"/>
      <w:r>
        <w:t xml:space="preserve"> = 0,15 x </w:t>
      </w:r>
      <w:proofErr w:type="spellStart"/>
      <w:r>
        <w:t>СД</w:t>
      </w:r>
      <w:r>
        <w:rPr>
          <w:vertAlign w:val="subscript"/>
        </w:rPr>
        <w:t>i</w:t>
      </w:r>
      <w:proofErr w:type="spellEnd"/>
      <w:r>
        <w:t xml:space="preserve">, если </w:t>
      </w:r>
      <w:proofErr w:type="spellStart"/>
      <w:r>
        <w:t>РД</w:t>
      </w:r>
      <w:proofErr w:type="gramStart"/>
      <w:r>
        <w:rPr>
          <w:vertAlign w:val="subscript"/>
        </w:rPr>
        <w:t>i</w:t>
      </w:r>
      <w:proofErr w:type="spellEnd"/>
      <w:r>
        <w:t xml:space="preserve"> &gt;</w:t>
      </w:r>
      <w:proofErr w:type="gramEnd"/>
      <w:r>
        <w:t xml:space="preserve"> 0,15 x </w:t>
      </w:r>
      <w:proofErr w:type="spellStart"/>
      <w:r>
        <w:t>СД</w:t>
      </w:r>
      <w:r>
        <w:rPr>
          <w:vertAlign w:val="subscript"/>
        </w:rPr>
        <w:t>i</w:t>
      </w:r>
      <w:proofErr w:type="spellEnd"/>
      <w:r>
        <w:t>,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СР</w:t>
      </w:r>
      <w:r>
        <w:rPr>
          <w:vertAlign w:val="subscript"/>
        </w:rPr>
        <w:t>i</w:t>
      </w:r>
      <w:proofErr w:type="spellEnd"/>
      <w:r>
        <w:t xml:space="preserve"> - скорректированные расчетные расходы бюджета i-</w:t>
      </w:r>
      <w:proofErr w:type="spellStart"/>
      <w:r>
        <w:t>го</w:t>
      </w:r>
      <w:proofErr w:type="spellEnd"/>
      <w:r>
        <w:t xml:space="preserve"> муниципального образования на текущий финансовый год.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21.08.2025 N 723)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1.6.1. Скорректированные расчетные расходы бюджета муниципального образования на текущий финансовый год определяются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351915" cy="4718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СР</w:t>
      </w:r>
      <w:r>
        <w:rPr>
          <w:vertAlign w:val="subscript"/>
        </w:rPr>
        <w:t>i</w:t>
      </w:r>
      <w:proofErr w:type="spellEnd"/>
      <w:r>
        <w:t xml:space="preserve"> - скорректированные расчетные расходы бюджета i-</w:t>
      </w:r>
      <w:proofErr w:type="spellStart"/>
      <w:r>
        <w:t>го</w:t>
      </w:r>
      <w:proofErr w:type="spellEnd"/>
      <w:r>
        <w:t xml:space="preserve"> муниципального образования на текущий финансовый год;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РР</w:t>
      </w:r>
      <w:r>
        <w:rPr>
          <w:vertAlign w:val="subscript"/>
        </w:rPr>
        <w:t>i</w:t>
      </w:r>
      <w:proofErr w:type="spellEnd"/>
      <w:r>
        <w:t xml:space="preserve"> - расчетные расходы бюджета i-</w:t>
      </w:r>
      <w:proofErr w:type="spellStart"/>
      <w:r>
        <w:t>го</w:t>
      </w:r>
      <w:proofErr w:type="spellEnd"/>
      <w:r>
        <w:t xml:space="preserve"> муниципального образования на текущий финансовый год;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ПБО</w:t>
      </w:r>
      <w:r>
        <w:rPr>
          <w:vertAlign w:val="subscript"/>
        </w:rPr>
        <w:t>i</w:t>
      </w:r>
      <w:proofErr w:type="spellEnd"/>
      <w:r>
        <w:t xml:space="preserve"> - общий объем принятых бюджетных обязательств бюджета i-</w:t>
      </w:r>
      <w:proofErr w:type="spellStart"/>
      <w:r>
        <w:t>го</w:t>
      </w:r>
      <w:proofErr w:type="spellEnd"/>
      <w:r>
        <w:t xml:space="preserve"> муниципального образования на текущий финансовый год;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 xml:space="preserve">Р </w:t>
      </w:r>
      <w:proofErr w:type="spellStart"/>
      <w:r>
        <w:t>утв</w:t>
      </w:r>
      <w:r>
        <w:rPr>
          <w:vertAlign w:val="subscript"/>
        </w:rPr>
        <w:t>i</w:t>
      </w:r>
      <w:proofErr w:type="spellEnd"/>
      <w:r>
        <w:t xml:space="preserve"> - общий объем расходов бюджета i-</w:t>
      </w:r>
      <w:proofErr w:type="spellStart"/>
      <w:r>
        <w:t>го</w:t>
      </w:r>
      <w:proofErr w:type="spellEnd"/>
      <w:r>
        <w:t xml:space="preserve"> муниципального образования на текущий </w:t>
      </w:r>
      <w:r>
        <w:lastRenderedPageBreak/>
        <w:t>финансовый год.</w:t>
      </w:r>
    </w:p>
    <w:p w:rsidR="001214C1" w:rsidRDefault="001214C1">
      <w:pPr>
        <w:pStyle w:val="ConsPlusNormal"/>
        <w:jc w:val="both"/>
      </w:pPr>
      <w:r>
        <w:t xml:space="preserve">(п. 1.6.1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21.08.2025 N 723)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1.7. Расчетные расходы бюджета муниципального образования на текущий финансовый год определяются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r>
        <w:rPr>
          <w:noProof/>
          <w:position w:val="-34"/>
        </w:rPr>
        <w:drawing>
          <wp:inline distT="0" distB="0" distL="0" distR="0">
            <wp:extent cx="1816100" cy="57277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N - численность населения Ленинградской области;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- численность населения i-</w:t>
      </w:r>
      <w:proofErr w:type="spellStart"/>
      <w:r>
        <w:t>го</w:t>
      </w:r>
      <w:proofErr w:type="spellEnd"/>
      <w:r>
        <w:t xml:space="preserve"> муниципального образования;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ИБР</w:t>
      </w:r>
      <w:r>
        <w:rPr>
          <w:vertAlign w:val="subscript"/>
        </w:rPr>
        <w:t>i</w:t>
      </w:r>
      <w:proofErr w:type="spellEnd"/>
      <w:r>
        <w:t xml:space="preserve"> - индекс бюджетных расходов i-</w:t>
      </w:r>
      <w:proofErr w:type="spellStart"/>
      <w:r>
        <w:t>го</w:t>
      </w:r>
      <w:proofErr w:type="spellEnd"/>
      <w:r>
        <w:t xml:space="preserve"> муниципального образования, определенный в соответствии с </w:t>
      </w:r>
      <w:hyperlink r:id="rId48">
        <w:r>
          <w:rPr>
            <w:color w:val="0000FF"/>
          </w:rPr>
          <w:t>порядком и методикой</w:t>
        </w:r>
      </w:hyperlink>
      <w:r>
        <w:t xml:space="preserve"> распределения дотаций на выравнивание бюджетной обеспеченности муниципальных районов (муниципальных округов, городских округов), определения критерия выравнивания и дополнительных нормативов согласно приложению 2 к областному закону от 14 октября 2019 года N 75-оз "О межбюджетных отношениях в Ленинградской области".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1.7.1. Фактический объем собственных доходов бюджета муниципального образования за отчетный финансовый год (</w:t>
      </w:r>
      <w:proofErr w:type="spellStart"/>
      <w:r>
        <w:t>СДфакт</w:t>
      </w:r>
      <w:r>
        <w:rPr>
          <w:vertAlign w:val="subscript"/>
        </w:rPr>
        <w:t>i</w:t>
      </w:r>
      <w:proofErr w:type="spellEnd"/>
      <w:r>
        <w:t>)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proofErr w:type="spellStart"/>
      <w:r>
        <w:t>СДфакт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ND</w:t>
      </w:r>
      <w:r>
        <w:rPr>
          <w:vertAlign w:val="subscript"/>
        </w:rPr>
        <w:t>i</w:t>
      </w:r>
      <w:proofErr w:type="spellEnd"/>
      <w:r>
        <w:t xml:space="preserve"> + </w:t>
      </w:r>
      <w:proofErr w:type="spellStart"/>
      <w:r>
        <w:t>PD</w:t>
      </w:r>
      <w:r>
        <w:rPr>
          <w:vertAlign w:val="subscript"/>
        </w:rPr>
        <w:t>i</w:t>
      </w:r>
      <w:proofErr w:type="spellEnd"/>
      <w:r>
        <w:t xml:space="preserve"> + </w:t>
      </w:r>
      <w:proofErr w:type="spellStart"/>
      <w:r>
        <w:t>DB</w:t>
      </w:r>
      <w:r>
        <w:rPr>
          <w:vertAlign w:val="subscript"/>
        </w:rPr>
        <w:t>i</w:t>
      </w:r>
      <w:proofErr w:type="spellEnd"/>
      <w:r>
        <w:t>, где: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proofErr w:type="spellStart"/>
      <w:r>
        <w:t>ND</w:t>
      </w:r>
      <w:r>
        <w:rPr>
          <w:vertAlign w:val="subscript"/>
        </w:rPr>
        <w:t>i</w:t>
      </w:r>
      <w:proofErr w:type="spellEnd"/>
      <w:r>
        <w:t xml:space="preserve"> - фактический годовой объем 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в отчетном году;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PD</w:t>
      </w:r>
      <w:r>
        <w:rPr>
          <w:vertAlign w:val="subscript"/>
        </w:rPr>
        <w:t>i</w:t>
      </w:r>
      <w:proofErr w:type="spellEnd"/>
      <w:r>
        <w:t xml:space="preserve"> - фактический годовой объем неналоговых доходов (без учета доходов от продажи материальных и нематериальных активов) бюджета i-</w:t>
      </w:r>
      <w:proofErr w:type="spellStart"/>
      <w:r>
        <w:t>го</w:t>
      </w:r>
      <w:proofErr w:type="spellEnd"/>
      <w:r>
        <w:t xml:space="preserve"> муниципального образования в отчетном году;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DB</w:t>
      </w:r>
      <w:r>
        <w:rPr>
          <w:vertAlign w:val="subscript"/>
        </w:rPr>
        <w:t>i</w:t>
      </w:r>
      <w:proofErr w:type="spellEnd"/>
      <w:r>
        <w:t xml:space="preserve"> - фактический годовой объем дотации на выравнивание бюджетной обеспеченности муниципальных районов (муниципальных округов, городских округов) для i-</w:t>
      </w:r>
      <w:proofErr w:type="spellStart"/>
      <w:r>
        <w:t>го</w:t>
      </w:r>
      <w:proofErr w:type="spellEnd"/>
      <w:r>
        <w:t xml:space="preserve"> муниципального образования в отчетном году.</w:t>
      </w:r>
    </w:p>
    <w:p w:rsidR="001214C1" w:rsidRDefault="001214C1">
      <w:pPr>
        <w:pStyle w:val="ConsPlusNormal"/>
        <w:jc w:val="both"/>
      </w:pPr>
      <w:r>
        <w:t xml:space="preserve">(п. 1.7.1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21.08.2026 N 668)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1.8. Прогнозируемый на текущий финансовый год объем собственных доходов бюджета муниципального образования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Pr="001214C1" w:rsidRDefault="001214C1">
      <w:pPr>
        <w:pStyle w:val="ConsPlusNormal"/>
        <w:jc w:val="center"/>
        <w:rPr>
          <w:lang w:val="en-US"/>
        </w:rPr>
      </w:pPr>
      <w:r>
        <w:t>СД</w:t>
      </w:r>
      <w:proofErr w:type="spellStart"/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 xml:space="preserve"> = </w:t>
      </w:r>
      <w:proofErr w:type="spellStart"/>
      <w:r w:rsidRPr="001214C1">
        <w:rPr>
          <w:lang w:val="en-US"/>
        </w:rPr>
        <w:t>NX</w:t>
      </w:r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 xml:space="preserve"> x g(</w:t>
      </w:r>
      <w:proofErr w:type="spellStart"/>
      <w:r>
        <w:t>нл</w:t>
      </w:r>
      <w:proofErr w:type="spellEnd"/>
      <w:r w:rsidRPr="001214C1">
        <w:rPr>
          <w:lang w:val="en-US"/>
        </w:rPr>
        <w:t>)</w:t>
      </w:r>
      <w:proofErr w:type="spellStart"/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 xml:space="preserve"> + </w:t>
      </w:r>
      <w:proofErr w:type="spellStart"/>
      <w:r w:rsidRPr="001214C1">
        <w:rPr>
          <w:lang w:val="en-US"/>
        </w:rPr>
        <w:t>PX</w:t>
      </w:r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 xml:space="preserve"> x g(</w:t>
      </w:r>
      <w:proofErr w:type="spellStart"/>
      <w:r>
        <w:t>нн</w:t>
      </w:r>
      <w:proofErr w:type="spellEnd"/>
      <w:r w:rsidRPr="001214C1">
        <w:rPr>
          <w:lang w:val="en-US"/>
        </w:rPr>
        <w:t>)</w:t>
      </w:r>
      <w:proofErr w:type="spellStart"/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 xml:space="preserve"> + </w:t>
      </w:r>
      <w:r>
        <w:t>ДВ</w:t>
      </w:r>
      <w:proofErr w:type="spellStart"/>
      <w:r w:rsidRPr="001214C1">
        <w:rPr>
          <w:vertAlign w:val="subscript"/>
          <w:lang w:val="en-US"/>
        </w:rPr>
        <w:t>i</w:t>
      </w:r>
      <w:proofErr w:type="spellEnd"/>
      <w:r w:rsidRPr="001214C1">
        <w:rPr>
          <w:lang w:val="en-US"/>
        </w:rPr>
        <w:t>,</w:t>
      </w:r>
    </w:p>
    <w:p w:rsidR="001214C1" w:rsidRPr="001214C1" w:rsidRDefault="001214C1">
      <w:pPr>
        <w:pStyle w:val="ConsPlusNormal"/>
        <w:ind w:firstLine="540"/>
        <w:jc w:val="both"/>
        <w:rPr>
          <w:lang w:val="en-US"/>
        </w:rPr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NX</w:t>
      </w:r>
      <w:r>
        <w:rPr>
          <w:vertAlign w:val="subscript"/>
        </w:rPr>
        <w:t>i</w:t>
      </w:r>
      <w:proofErr w:type="spellEnd"/>
      <w:r>
        <w:t xml:space="preserve"> - фактический объем 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по состоянию на 1 июля текущего финансового года;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g(</w:t>
      </w:r>
      <w:proofErr w:type="spellStart"/>
      <w:r>
        <w:t>нл</w:t>
      </w:r>
      <w:proofErr w:type="spellEnd"/>
      <w:r>
        <w:t>)</w:t>
      </w:r>
      <w:r>
        <w:rPr>
          <w:vertAlign w:val="subscript"/>
        </w:rPr>
        <w:t>i</w:t>
      </w:r>
      <w:r>
        <w:t xml:space="preserve"> - коэффициент приведения 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по состоянию на 1 июля текущего финансового года к годовому значению;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PX</w:t>
      </w:r>
      <w:r>
        <w:rPr>
          <w:vertAlign w:val="subscript"/>
        </w:rPr>
        <w:t>i</w:t>
      </w:r>
      <w:proofErr w:type="spellEnd"/>
      <w:r>
        <w:t xml:space="preserve"> - фактический объем неналоговых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по </w:t>
      </w:r>
      <w:r>
        <w:lastRenderedPageBreak/>
        <w:t>состоянию на 1 июля текущего финансового года (без учета доходов от продажи материальных и нематериальных активов);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g(</w:t>
      </w:r>
      <w:proofErr w:type="spellStart"/>
      <w:r>
        <w:t>нн</w:t>
      </w:r>
      <w:proofErr w:type="spellEnd"/>
      <w:r>
        <w:t>)</w:t>
      </w:r>
      <w:r>
        <w:rPr>
          <w:vertAlign w:val="subscript"/>
        </w:rPr>
        <w:t>i</w:t>
      </w:r>
      <w:r>
        <w:t xml:space="preserve"> - коэффициент приведения неналоговых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по состоянию на 1 июля текущего финансового года к годовому значению;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ДВ</w:t>
      </w:r>
      <w:r>
        <w:rPr>
          <w:vertAlign w:val="subscript"/>
        </w:rPr>
        <w:t>i</w:t>
      </w:r>
      <w:proofErr w:type="spellEnd"/>
      <w:r>
        <w:t xml:space="preserve"> - сумма дотации на выравнивание бюджетной обеспеченности муниципальных районов (муниципальных округов, городских округов) для i-</w:t>
      </w:r>
      <w:proofErr w:type="spellStart"/>
      <w:r>
        <w:t>го</w:t>
      </w:r>
      <w:proofErr w:type="spellEnd"/>
      <w:r>
        <w:t xml:space="preserve"> муниципального образования, предусмотренная на текущий финансовый год областным законом об областном бюджете Ленинградской области на текущий финансовый год и на плановый период.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bookmarkStart w:id="3" w:name="P234"/>
      <w:bookmarkEnd w:id="3"/>
      <w:r>
        <w:t>1.9. Коэффициент приведения налоговых доходов бюджета муниципального образования по состоянию на 1 июля текущего финансового года к годовому значению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1564640" cy="4889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proofErr w:type="spellStart"/>
      <w:r>
        <w:t>ND</w:t>
      </w:r>
      <w:r>
        <w:rPr>
          <w:vertAlign w:val="subscript"/>
        </w:rPr>
        <w:t>ik</w:t>
      </w:r>
      <w:proofErr w:type="spellEnd"/>
      <w:r>
        <w:t xml:space="preserve"> - фактический годовой объем 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в k-м году;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NX</w:t>
      </w:r>
      <w:r>
        <w:rPr>
          <w:vertAlign w:val="subscript"/>
        </w:rPr>
        <w:t>ik</w:t>
      </w:r>
      <w:proofErr w:type="spellEnd"/>
      <w:r>
        <w:t xml:space="preserve"> - фактический объем налоговых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 по состоянию на 1 июля k-</w:t>
      </w:r>
      <w:proofErr w:type="spellStart"/>
      <w:r>
        <w:t>го</w:t>
      </w:r>
      <w:proofErr w:type="spellEnd"/>
      <w:r>
        <w:t xml:space="preserve"> года;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t - текущий финансовый год.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bookmarkStart w:id="4" w:name="P242"/>
      <w:bookmarkEnd w:id="4"/>
      <w:r>
        <w:t>1.10. Коэффициент приведения неналоговых доходов бюджета муниципального образования по состоянию на 1 июля текущего финансового года к годовому значению определяется по формуле: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1567180" cy="4864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>где: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PD</w:t>
      </w:r>
      <w:r>
        <w:rPr>
          <w:vertAlign w:val="subscript"/>
        </w:rPr>
        <w:t>ik</w:t>
      </w:r>
      <w:proofErr w:type="spellEnd"/>
      <w:r>
        <w:t xml:space="preserve"> - фактический годовой объем неналоговых доходов (без учета доходов от продажи материальных и нематериальных активов) бюджета i-</w:t>
      </w:r>
      <w:proofErr w:type="spellStart"/>
      <w:r>
        <w:t>го</w:t>
      </w:r>
      <w:proofErr w:type="spellEnd"/>
      <w:r>
        <w:t xml:space="preserve"> муниципального образования в k-м году;</w:t>
      </w:r>
    </w:p>
    <w:p w:rsidR="001214C1" w:rsidRDefault="001214C1">
      <w:pPr>
        <w:pStyle w:val="ConsPlusNormal"/>
        <w:spacing w:before="220"/>
        <w:ind w:firstLine="540"/>
        <w:jc w:val="both"/>
      </w:pPr>
      <w:proofErr w:type="spellStart"/>
      <w:r>
        <w:t>PX</w:t>
      </w:r>
      <w:r>
        <w:rPr>
          <w:vertAlign w:val="subscript"/>
        </w:rPr>
        <w:t>ik</w:t>
      </w:r>
      <w:proofErr w:type="spellEnd"/>
      <w:r>
        <w:t xml:space="preserve"> - фактический объем неналоговых доходов (без учета доходов от продажи материальных и нематериальных активов) бюджета i-</w:t>
      </w:r>
      <w:proofErr w:type="spellStart"/>
      <w:r>
        <w:t>го</w:t>
      </w:r>
      <w:proofErr w:type="spellEnd"/>
      <w:r>
        <w:t xml:space="preserve"> муниципального образования по состоянию на 1 июля k-</w:t>
      </w:r>
      <w:proofErr w:type="spellStart"/>
      <w:r>
        <w:t>го</w:t>
      </w:r>
      <w:proofErr w:type="spellEnd"/>
      <w:r>
        <w:t xml:space="preserve"> года;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t - текущий финансовый год.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t xml:space="preserve">1.11. В случае преобразования муниципальных образований путем объединения двух и более муниципальных образований для расчета коэффициентов, указанных в </w:t>
      </w:r>
      <w:hyperlink w:anchor="P234">
        <w:r>
          <w:rPr>
            <w:color w:val="0000FF"/>
          </w:rPr>
          <w:t>пунктах 1.9</w:t>
        </w:r>
      </w:hyperlink>
      <w:r>
        <w:t xml:space="preserve"> и </w:t>
      </w:r>
      <w:hyperlink w:anchor="P242">
        <w:r>
          <w:rPr>
            <w:color w:val="0000FF"/>
          </w:rPr>
          <w:t>1.10</w:t>
        </w:r>
      </w:hyperlink>
      <w:r>
        <w:t xml:space="preserve"> настоящей Методики, учитывается фактический объем налоговых и неналоговых доходов (без учета доходов от продажи материальных и нематериальных активов) бюджетов объединяемых муниципальных образований.</w:t>
      </w:r>
    </w:p>
    <w:p w:rsidR="001214C1" w:rsidRDefault="001214C1">
      <w:pPr>
        <w:pStyle w:val="ConsPlusNormal"/>
        <w:jc w:val="both"/>
      </w:pPr>
      <w:r>
        <w:t xml:space="preserve">(п. 1.11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Title"/>
        <w:jc w:val="center"/>
        <w:outlineLvl w:val="1"/>
      </w:pPr>
      <w:r>
        <w:t>2. Правила предоставления дотаций</w:t>
      </w:r>
    </w:p>
    <w:p w:rsidR="001214C1" w:rsidRDefault="001214C1">
      <w:pPr>
        <w:pStyle w:val="ConsPlusNormal"/>
        <w:ind w:firstLine="540"/>
        <w:jc w:val="both"/>
      </w:pPr>
    </w:p>
    <w:p w:rsidR="001214C1" w:rsidRDefault="001214C1">
      <w:pPr>
        <w:pStyle w:val="ConsPlusNormal"/>
        <w:ind w:firstLine="540"/>
        <w:jc w:val="both"/>
      </w:pPr>
      <w:r>
        <w:lastRenderedPageBreak/>
        <w:t>2.1. Предоставление дотаций осуществляется в соответствии со сводной бюджетной росписью областного бюджета Ленинградской области на текущий финансовый год в пределах бюджетных ассигнований и лимитов бюджетных обязательств, предусмотренных в установленном порядке главному распорядителю бюджетных средств - Комитету финансов Ленинградской области (далее - Комитет).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2.2. Распределение дотаций утверждается ежегодно до 5 сентября текущего финансового года распоряжением Правительства Ленинградской области.</w:t>
      </w:r>
    </w:p>
    <w:p w:rsidR="001214C1" w:rsidRDefault="001214C1">
      <w:pPr>
        <w:pStyle w:val="ConsPlusNormal"/>
        <w:spacing w:before="220"/>
        <w:ind w:firstLine="540"/>
        <w:jc w:val="both"/>
      </w:pPr>
      <w:r>
        <w:t>2.3. Перечисление дотаций осуществляется Комитетом на счета, открытые территориальным органом Федерального казначейства для учета поступлений и их распределения между бюджетами бюджетной системы Российской Федерации, для последующего перечисления в установленном законодательством порядке в бюджеты муниципальных районов (муниципальных округов, городских округов) Ленинградской области в течение 15 рабочих дней с даты принятия распоряжения Правительства Ленинградской области о распределении дотаций.</w:t>
      </w:r>
    </w:p>
    <w:p w:rsidR="001214C1" w:rsidRDefault="001214C1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23.09.2024 N 663)</w:t>
      </w:r>
    </w:p>
    <w:p w:rsidR="001214C1" w:rsidRDefault="001214C1">
      <w:pPr>
        <w:pStyle w:val="ConsPlusNormal"/>
      </w:pPr>
    </w:p>
    <w:p w:rsidR="001214C1" w:rsidRDefault="001214C1">
      <w:pPr>
        <w:pStyle w:val="ConsPlusNormal"/>
      </w:pPr>
    </w:p>
    <w:p w:rsidR="001214C1" w:rsidRDefault="001214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7E20" w:rsidRDefault="00A87E20"/>
    <w:sectPr w:rsidR="00A87E20" w:rsidSect="0018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C1"/>
    <w:rsid w:val="001214C1"/>
    <w:rsid w:val="002B05C3"/>
    <w:rsid w:val="00A8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6B7E9-F771-470E-957B-76255F24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4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14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14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98418&amp;dst=100005" TargetMode="External"/><Relationship Id="rId18" Type="http://schemas.openxmlformats.org/officeDocument/2006/relationships/hyperlink" Target="https://login.consultant.ru/link/?req=doc&amp;base=SPB&amp;n=226111&amp;dst=100008" TargetMode="External"/><Relationship Id="rId26" Type="http://schemas.openxmlformats.org/officeDocument/2006/relationships/hyperlink" Target="https://login.consultant.ru/link/?req=doc&amp;base=SPB&amp;n=226111&amp;dst=100011" TargetMode="External"/><Relationship Id="rId39" Type="http://schemas.openxmlformats.org/officeDocument/2006/relationships/hyperlink" Target="https://login.consultant.ru/link/?req=doc&amp;base=SPB&amp;n=335254&amp;dst=100017" TargetMode="External"/><Relationship Id="rId21" Type="http://schemas.openxmlformats.org/officeDocument/2006/relationships/hyperlink" Target="https://login.consultant.ru/link/?req=doc&amp;base=SPB&amp;n=298418&amp;dst=100007" TargetMode="External"/><Relationship Id="rId34" Type="http://schemas.openxmlformats.org/officeDocument/2006/relationships/hyperlink" Target="https://login.consultant.ru/link/?req=doc&amp;base=SPB&amp;n=298418&amp;dst=100014" TargetMode="External"/><Relationship Id="rId42" Type="http://schemas.openxmlformats.org/officeDocument/2006/relationships/hyperlink" Target="https://login.consultant.ru/link/?req=doc&amp;base=SPB&amp;n=335254&amp;dst=100026" TargetMode="External"/><Relationship Id="rId47" Type="http://schemas.openxmlformats.org/officeDocument/2006/relationships/image" Target="media/image3.wmf"/><Relationship Id="rId50" Type="http://schemas.openxmlformats.org/officeDocument/2006/relationships/hyperlink" Target="https://login.consultant.ru/link/?req=doc&amp;base=SPB&amp;n=335254&amp;dst=100027" TargetMode="External"/><Relationship Id="rId55" Type="http://schemas.openxmlformats.org/officeDocument/2006/relationships/hyperlink" Target="https://login.consultant.ru/link/?req=doc&amp;base=SPB&amp;n=298418&amp;dst=100018" TargetMode="External"/><Relationship Id="rId7" Type="http://schemas.openxmlformats.org/officeDocument/2006/relationships/hyperlink" Target="https://login.consultant.ru/link/?req=doc&amp;base=SPB&amp;n=268170&amp;dst=100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5254&amp;dst=100005" TargetMode="External"/><Relationship Id="rId29" Type="http://schemas.openxmlformats.org/officeDocument/2006/relationships/hyperlink" Target="https://login.consultant.ru/link/?req=doc&amp;base=SPB&amp;n=335254&amp;dst=100010" TargetMode="External"/><Relationship Id="rId11" Type="http://schemas.openxmlformats.org/officeDocument/2006/relationships/hyperlink" Target="https://login.consultant.ru/link/?req=doc&amp;base=SPB&amp;n=226111&amp;dst=100005" TargetMode="External"/><Relationship Id="rId24" Type="http://schemas.openxmlformats.org/officeDocument/2006/relationships/hyperlink" Target="https://login.consultant.ru/link/?req=doc&amp;base=SPB&amp;n=179258&amp;dst=100005" TargetMode="External"/><Relationship Id="rId32" Type="http://schemas.openxmlformats.org/officeDocument/2006/relationships/hyperlink" Target="https://login.consultant.ru/link/?req=doc&amp;base=SPB&amp;n=335254&amp;dst=100011" TargetMode="External"/><Relationship Id="rId37" Type="http://schemas.openxmlformats.org/officeDocument/2006/relationships/hyperlink" Target="https://login.consultant.ru/link/?req=doc&amp;base=SPB&amp;n=316049&amp;dst=100012" TargetMode="External"/><Relationship Id="rId40" Type="http://schemas.openxmlformats.org/officeDocument/2006/relationships/hyperlink" Target="https://login.consultant.ru/link/?req=doc&amp;base=SPB&amp;n=335254&amp;dst=100022" TargetMode="External"/><Relationship Id="rId45" Type="http://schemas.openxmlformats.org/officeDocument/2006/relationships/image" Target="media/image2.wmf"/><Relationship Id="rId53" Type="http://schemas.openxmlformats.org/officeDocument/2006/relationships/image" Target="media/image5.wmf"/><Relationship Id="rId5" Type="http://schemas.openxmlformats.org/officeDocument/2006/relationships/hyperlink" Target="https://login.consultant.ru/link/?req=doc&amp;base=SPB&amp;n=152761&amp;dst=100005" TargetMode="External"/><Relationship Id="rId19" Type="http://schemas.openxmlformats.org/officeDocument/2006/relationships/hyperlink" Target="https://login.consultant.ru/link/?req=doc&amp;base=SPB&amp;n=226111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SPB&amp;n=186605&amp;dst=100005" TargetMode="External"/><Relationship Id="rId14" Type="http://schemas.openxmlformats.org/officeDocument/2006/relationships/hyperlink" Target="https://login.consultant.ru/link/?req=doc&amp;base=SPB&amp;n=316049&amp;dst=100005" TargetMode="External"/><Relationship Id="rId22" Type="http://schemas.openxmlformats.org/officeDocument/2006/relationships/hyperlink" Target="https://login.consultant.ru/link/?req=doc&amp;base=SPB&amp;n=316049&amp;dst=100009" TargetMode="External"/><Relationship Id="rId27" Type="http://schemas.openxmlformats.org/officeDocument/2006/relationships/hyperlink" Target="https://login.consultant.ru/link/?req=doc&amp;base=SPB&amp;n=298418&amp;dst=100008" TargetMode="External"/><Relationship Id="rId30" Type="http://schemas.openxmlformats.org/officeDocument/2006/relationships/hyperlink" Target="https://login.consultant.ru/link/?req=doc&amp;base=SPB&amp;n=298418&amp;dst=100009" TargetMode="External"/><Relationship Id="rId35" Type="http://schemas.openxmlformats.org/officeDocument/2006/relationships/hyperlink" Target="https://login.consultant.ru/link/?req=doc&amp;base=SPB&amp;n=298418&amp;dst=100014" TargetMode="External"/><Relationship Id="rId43" Type="http://schemas.openxmlformats.org/officeDocument/2006/relationships/hyperlink" Target="https://login.consultant.ru/link/?req=doc&amp;base=SPB&amp;n=316049&amp;dst=100022" TargetMode="External"/><Relationship Id="rId48" Type="http://schemas.openxmlformats.org/officeDocument/2006/relationships/hyperlink" Target="https://login.consultant.ru/link/?req=doc&amp;base=SPB&amp;n=333407&amp;dst=10020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SPB&amp;n=179258&amp;dst=100005" TargetMode="External"/><Relationship Id="rId51" Type="http://schemas.openxmlformats.org/officeDocument/2006/relationships/hyperlink" Target="https://login.consultant.ru/link/?req=doc&amp;base=SPB&amp;n=298418&amp;dst=1000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281194&amp;dst=100005" TargetMode="External"/><Relationship Id="rId17" Type="http://schemas.openxmlformats.org/officeDocument/2006/relationships/hyperlink" Target="https://login.consultant.ru/link/?req=doc&amp;base=LAW&amp;n=511724&amp;dst=5713" TargetMode="External"/><Relationship Id="rId25" Type="http://schemas.openxmlformats.org/officeDocument/2006/relationships/hyperlink" Target="https://login.consultant.ru/link/?req=doc&amp;base=SPB&amp;n=329705&amp;dst=100007" TargetMode="External"/><Relationship Id="rId33" Type="http://schemas.openxmlformats.org/officeDocument/2006/relationships/hyperlink" Target="https://login.consultant.ru/link/?req=doc&amp;base=SPB&amp;n=298418&amp;dst=100013" TargetMode="External"/><Relationship Id="rId38" Type="http://schemas.openxmlformats.org/officeDocument/2006/relationships/hyperlink" Target="https://login.consultant.ru/link/?req=doc&amp;base=SPB&amp;n=316049&amp;dst=100017" TargetMode="External"/><Relationship Id="rId46" Type="http://schemas.openxmlformats.org/officeDocument/2006/relationships/hyperlink" Target="https://login.consultant.ru/link/?req=doc&amp;base=SPB&amp;n=316049&amp;dst=100027" TargetMode="External"/><Relationship Id="rId20" Type="http://schemas.openxmlformats.org/officeDocument/2006/relationships/hyperlink" Target="https://login.consultant.ru/link/?req=doc&amp;base=SPB&amp;n=298418&amp;dst=100006" TargetMode="External"/><Relationship Id="rId41" Type="http://schemas.openxmlformats.org/officeDocument/2006/relationships/image" Target="media/image1.wmf"/><Relationship Id="rId54" Type="http://schemas.openxmlformats.org/officeDocument/2006/relationships/hyperlink" Target="https://login.consultant.ru/link/?req=doc&amp;base=SPB&amp;n=298418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174778&amp;dst=100005" TargetMode="External"/><Relationship Id="rId15" Type="http://schemas.openxmlformats.org/officeDocument/2006/relationships/hyperlink" Target="https://login.consultant.ru/link/?req=doc&amp;base=SPB&amp;n=329705&amp;dst=100007" TargetMode="External"/><Relationship Id="rId23" Type="http://schemas.openxmlformats.org/officeDocument/2006/relationships/hyperlink" Target="https://login.consultant.ru/link/?req=doc&amp;base=SPB&amp;n=335254&amp;dst=100009" TargetMode="External"/><Relationship Id="rId28" Type="http://schemas.openxmlformats.org/officeDocument/2006/relationships/hyperlink" Target="https://login.consultant.ru/link/?req=doc&amp;base=SPB&amp;n=316049&amp;dst=100011" TargetMode="External"/><Relationship Id="rId36" Type="http://schemas.openxmlformats.org/officeDocument/2006/relationships/hyperlink" Target="https://login.consultant.ru/link/?req=doc&amp;base=SPB&amp;n=298418&amp;dst=100014" TargetMode="External"/><Relationship Id="rId49" Type="http://schemas.openxmlformats.org/officeDocument/2006/relationships/hyperlink" Target="https://login.consultant.ru/link/?req=doc&amp;base=SPB&amp;n=298418&amp;dst=100015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16881&amp;dst=100005" TargetMode="External"/><Relationship Id="rId31" Type="http://schemas.openxmlformats.org/officeDocument/2006/relationships/hyperlink" Target="https://login.consultant.ru/link/?req=doc&amp;base=SPB&amp;n=298418&amp;dst=100011" TargetMode="External"/><Relationship Id="rId44" Type="http://schemas.openxmlformats.org/officeDocument/2006/relationships/hyperlink" Target="https://login.consultant.ru/link/?req=doc&amp;base=SPB&amp;n=316049&amp;dst=100026" TargetMode="External"/><Relationship Id="rId5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3866</Words>
  <Characters>22038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Елена Владимировна</dc:creator>
  <cp:keywords/>
  <dc:description/>
  <cp:lastModifiedBy>Костливцева Наталья Максимовна</cp:lastModifiedBy>
  <cp:revision>2</cp:revision>
  <dcterms:created xsi:type="dcterms:W3CDTF">2026-08-31T14:28:00Z</dcterms:created>
  <dcterms:modified xsi:type="dcterms:W3CDTF">2026-08-31T14:28:00Z</dcterms:modified>
</cp:coreProperties>
</file>