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D0" w:rsidRDefault="00DB48D0" w:rsidP="00830E04">
      <w:pPr>
        <w:framePr w:wrap="none" w:vAnchor="page" w:hAnchor="page" w:x="3643" w:y="3715"/>
        <w:rPr>
          <w:sz w:val="2"/>
          <w:szCs w:val="2"/>
        </w:rPr>
      </w:pPr>
      <w:bookmarkStart w:id="0" w:name="_GoBack"/>
      <w:bookmarkEnd w:id="0"/>
    </w:p>
    <w:p w:rsidR="003958CC" w:rsidRPr="00653700" w:rsidRDefault="003958CC" w:rsidP="00830E04">
      <w:pPr>
        <w:pStyle w:val="10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  <w:tab w:val="left" w:pos="2127"/>
        </w:tabs>
        <w:spacing w:before="0" w:after="0" w:line="240" w:lineRule="auto"/>
        <w:rPr>
          <w:rStyle w:val="11"/>
          <w:bCs/>
          <w:color w:val="0000FF"/>
          <w:sz w:val="24"/>
        </w:rPr>
      </w:pPr>
      <w:bookmarkStart w:id="1" w:name="bookmark0"/>
    </w:p>
    <w:p w:rsidR="003958CC" w:rsidRPr="00653700" w:rsidRDefault="003958CC" w:rsidP="00830E04">
      <w:pPr>
        <w:pStyle w:val="10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</w:tabs>
        <w:spacing w:before="0" w:after="0" w:line="240" w:lineRule="auto"/>
        <w:rPr>
          <w:rStyle w:val="11"/>
          <w:bCs/>
          <w:i/>
          <w:color w:val="0000FF"/>
          <w:sz w:val="24"/>
        </w:rPr>
      </w:pPr>
    </w:p>
    <w:p w:rsidR="003958CC" w:rsidRPr="00653700" w:rsidRDefault="003958CC" w:rsidP="00830E04">
      <w:pPr>
        <w:pStyle w:val="10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</w:tabs>
        <w:spacing w:before="0" w:after="0" w:line="240" w:lineRule="auto"/>
        <w:rPr>
          <w:rStyle w:val="11"/>
          <w:bCs/>
          <w:color w:val="0000FF"/>
          <w:sz w:val="24"/>
        </w:rPr>
      </w:pPr>
    </w:p>
    <w:p w:rsidR="003958CC" w:rsidRPr="00653700" w:rsidRDefault="003958CC" w:rsidP="00830E04">
      <w:pPr>
        <w:pStyle w:val="10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</w:tabs>
        <w:spacing w:before="0" w:after="0" w:line="240" w:lineRule="auto"/>
        <w:rPr>
          <w:rStyle w:val="11"/>
          <w:bCs/>
          <w:color w:val="0000FF"/>
          <w:sz w:val="24"/>
        </w:rPr>
      </w:pPr>
    </w:p>
    <w:p w:rsidR="003958CC" w:rsidRPr="00653700" w:rsidRDefault="003958CC" w:rsidP="00830E04">
      <w:pPr>
        <w:pStyle w:val="10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</w:tabs>
        <w:spacing w:before="0" w:after="0" w:line="240" w:lineRule="auto"/>
        <w:rPr>
          <w:rStyle w:val="11"/>
          <w:bCs/>
          <w:color w:val="0000FF"/>
          <w:sz w:val="24"/>
        </w:rPr>
      </w:pPr>
    </w:p>
    <w:bookmarkEnd w:id="1"/>
    <w:p w:rsidR="003958CC" w:rsidRPr="003E3098" w:rsidRDefault="003958CC" w:rsidP="00830E04">
      <w:pPr>
        <w:pStyle w:val="4"/>
        <w:framePr w:w="4364" w:h="4735" w:hRule="exact" w:wrap="around" w:vAnchor="text" w:hAnchor="page" w:x="1134" w:y="-283" w:anchorLock="1"/>
        <w:shd w:val="clear" w:color="auto" w:fill="auto"/>
        <w:tabs>
          <w:tab w:val="left" w:pos="1985"/>
          <w:tab w:val="right" w:leader="underscore" w:pos="2235"/>
          <w:tab w:val="left" w:leader="underscore" w:pos="3932"/>
        </w:tabs>
        <w:spacing w:before="0" w:after="0" w:line="240" w:lineRule="auto"/>
        <w:rPr>
          <w:color w:val="0000FF"/>
          <w:sz w:val="20"/>
        </w:rPr>
      </w:pPr>
    </w:p>
    <w:p w:rsidR="00DB48D0" w:rsidRDefault="00DB48D0" w:rsidP="00830E04">
      <w:pPr>
        <w:tabs>
          <w:tab w:val="left" w:pos="1843"/>
          <w:tab w:val="left" w:pos="1985"/>
        </w:tabs>
        <w:rPr>
          <w:sz w:val="2"/>
          <w:szCs w:val="2"/>
        </w:rPr>
      </w:pP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Главным распорядителям</w:t>
      </w: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бюджетных средств</w:t>
      </w: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областного бюджета</w:t>
      </w: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Ленинградской области</w:t>
      </w: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ind w:left="637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A0349" w:rsidRDefault="006A0349" w:rsidP="00830E04">
      <w:pPr>
        <w:widowControl/>
        <w:ind w:right="58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формировании проекта областного бюджета Ленинградской области на 202</w:t>
      </w:r>
      <w:r w:rsid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6A03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</w:p>
    <w:p w:rsidR="006A0349" w:rsidRPr="00043653" w:rsidRDefault="006A0349" w:rsidP="00830E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043653" w:rsidRDefault="006A0349" w:rsidP="00830E0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Во исполнение пункта 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Плана-графика подготовки и рассмотрения проектов решений, документов и материалов, необходимых для составления проекта областного закона об областном бюджете Ленинградской области на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 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 и на плановый период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годов, утвержденного распоряжением комитета финансов Ленинградской области от </w:t>
      </w:r>
      <w:r w:rsidR="00CE639A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.05.202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E006E8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18-03/02-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План-график), </w:t>
      </w:r>
      <w:r w:rsidRPr="0004365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рамках подготовки проекта областного закона "Об областном бюджете Ленинградской области 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годов" (далее – Проект бюджета) комитет финансов Ленинградской области доводит общие (предельные) объемы бюджетных ассигнований на исполнение расходных обязательств в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и плановом периоде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 (далее - контрольные цифры):</w:t>
      </w:r>
    </w:p>
    <w:p w:rsidR="006A0349" w:rsidRPr="00043653" w:rsidRDefault="006A0349" w:rsidP="00830E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сумме                      тысяч рублей;</w:t>
      </w:r>
    </w:p>
    <w:p w:rsidR="006A0349" w:rsidRPr="00043653" w:rsidRDefault="006A0349" w:rsidP="00830E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сумме                      тысяч рублей;</w:t>
      </w:r>
    </w:p>
    <w:p w:rsidR="006A0349" w:rsidRPr="00043653" w:rsidRDefault="006A0349" w:rsidP="00830E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043653"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0436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сумме                      тысяч рублей.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F1E6F" w:rsidRPr="00043653" w:rsidRDefault="006F1E6F" w:rsidP="006F1E6F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контрольные цифры включены расходы на реализацию проектов:</w:t>
      </w:r>
    </w:p>
    <w:p w:rsidR="006F1E6F" w:rsidRPr="00043653" w:rsidRDefault="006F1E6F" w:rsidP="006F1E6F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1………………….</w:t>
      </w:r>
    </w:p>
    <w:p w:rsidR="006F1E6F" w:rsidRPr="00043653" w:rsidRDefault="006F1E6F" w:rsidP="006F1E6F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2………………….</w:t>
      </w:r>
    </w:p>
    <w:p w:rsidR="006F1E6F" w:rsidRPr="00043653" w:rsidRDefault="006F1E6F" w:rsidP="006F1E6F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3………………….</w:t>
      </w:r>
    </w:p>
    <w:p w:rsidR="006F1E6F" w:rsidRPr="00043653" w:rsidRDefault="006F1E6F" w:rsidP="006F1E6F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……………………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контрольные цифры включены расходы в рамках адресной инвестиционной программы Ленинградской области на следующие объекты: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……………………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В контрольные цифры включены расходы на принимаемые обязательства по следующим мероприятиям: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3………………….</w:t>
      </w:r>
    </w:p>
    <w:p w:rsidR="004F6977" w:rsidRPr="00043653" w:rsidRDefault="004F6977" w:rsidP="004F697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……………………</w:t>
      </w:r>
    </w:p>
    <w:p w:rsidR="00B416DC" w:rsidRPr="00043653" w:rsidRDefault="00B416DC" w:rsidP="00B416D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033B99" w:rsidRDefault="006A0349" w:rsidP="00830E04">
      <w:pPr>
        <w:widowControl/>
        <w:tabs>
          <w:tab w:val="left" w:pos="567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033B9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Основные подходы к формированию предельных объемов бюджетных ассигнований</w:t>
      </w:r>
    </w:p>
    <w:p w:rsidR="006A0349" w:rsidRPr="00033B99" w:rsidRDefault="006A0349" w:rsidP="00830E04">
      <w:pPr>
        <w:widowControl/>
        <w:tabs>
          <w:tab w:val="left" w:pos="567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6A0349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Главным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</w:t>
      </w: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распорядителям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</w:t>
      </w: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бюджетных средств областного бюджета Ленинградской области (далее – главные распорядители) формирование предложений по распределению базовых бюджетных ассигнований осуществляется в </w:t>
      </w: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пределах своей компетенции исходя из необходимости:</w:t>
      </w:r>
    </w:p>
    <w:p w:rsidR="00530F5C" w:rsidRPr="00530F5C" w:rsidRDefault="00530F5C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- </w:t>
      </w: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безусловного исполнения распоряжени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</w:t>
      </w: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Правительства Ленинградской области от 22.05.2026 № 289-р "Об утверждении Программы оздоровления государственных (муниципальных) финансов Ленинградской области на 2026 год и на плановый период 2027-2029 годов"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;</w:t>
      </w:r>
    </w:p>
    <w:p w:rsidR="006A0349" w:rsidRPr="00530F5C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финансового обеспечения в приоритетном порядке:</w:t>
      </w:r>
    </w:p>
    <w:p w:rsidR="00395339" w:rsidRDefault="0039533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расходов на реализацию Указа Президента Росси</w:t>
      </w:r>
      <w:r w:rsidR="006E06E0"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йской Федерации от 07.05.2024 № </w:t>
      </w: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309 "О национальных целях развития Российской Федерации на период до 2030 года и на перспективу до 2036 года";</w:t>
      </w:r>
    </w:p>
    <w:p w:rsidR="001D74D6" w:rsidRPr="00530F5C" w:rsidRDefault="001D74D6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проектн</w:t>
      </w:r>
      <w:r w:rsidR="00651E1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ой</w:t>
      </w:r>
      <w:r w:rsidRP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част</w:t>
      </w:r>
      <w:r w:rsidR="00651E1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</w:t>
      </w:r>
      <w:r w:rsidRP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областного бюджета Ленинградской области (региональные, приоритетные и отраслевые проекты) исходя из утвержденных паспортов проектов в соответствии с ГИИС "Электронный бюджет";</w:t>
      </w:r>
    </w:p>
    <w:p w:rsidR="006A0349" w:rsidRPr="00530F5C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исполнения публичных нормативных обязательств и и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ных социальных выплат населению;</w:t>
      </w:r>
    </w:p>
    <w:p w:rsidR="006A0349" w:rsidRPr="00530F5C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строительства переходящих (ранее начатых) объектов капитального строительства, в том числе объектов незавершенного строительства, в целях скорейшего ввода их в эксплуатацию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;</w:t>
      </w:r>
    </w:p>
    <w:p w:rsidR="006A0349" w:rsidRPr="00530F5C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уплаты налогов и сборов в соответствии с законодательством Российской Федерации о налогах и сборах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</w:p>
    <w:p w:rsidR="006A0349" w:rsidRPr="00530F5C" w:rsidRDefault="001D74D6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</w:t>
      </w:r>
      <w:r w:rsidR="006A0349"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аспределени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</w:t>
      </w:r>
      <w:r w:rsidR="006A0349"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бюджетных ассигнований </w:t>
      </w:r>
      <w:r w:rsidR="003B2FA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необходимо осуществлять </w:t>
      </w:r>
      <w:r w:rsidR="006A0349" w:rsidRPr="00530F5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на основе анализа эффективности использования и уровня исполнения бюджетных ассигнований, предоставленных на соответствующие цели в предыдущих периодах</w:t>
      </w:r>
      <w:r w:rsidR="00651E1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,</w:t>
      </w:r>
      <w:r w:rsidR="003B2FA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с учетом:</w:t>
      </w:r>
    </w:p>
    <w:p w:rsidR="006A0349" w:rsidRPr="00390B2E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заключений Контрольно-счетной палаты Ленинградской области по итогам контрольных и экспертно-аналитических мероприятий;</w:t>
      </w:r>
    </w:p>
    <w:p w:rsidR="006A0349" w:rsidRDefault="00570EE1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- </w:t>
      </w:r>
      <w:r w:rsidR="006A0349"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сокращения дебиторской задолженности по расходам;</w:t>
      </w:r>
    </w:p>
    <w:p w:rsidR="006A0349" w:rsidRPr="00390B2E" w:rsidRDefault="00570EE1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- </w:t>
      </w:r>
      <w:r w:rsidR="006A0349"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обеспечения соблюдения требований законодательства Российской Федерации о контрактной системе в сфере закупок, нормативных правовых актов в части планирования закупок, в том числе в сфере информационно-коммуникационных технологий</w:t>
      </w:r>
      <w:r w:rsidR="008F1C37"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;</w:t>
      </w:r>
    </w:p>
    <w:p w:rsidR="00504423" w:rsidRPr="00444059" w:rsidRDefault="00E668D6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 xml:space="preserve">- </w:t>
      </w:r>
      <w:r w:rsidRPr="0044405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финансового обеспечения непрерывного функционирования (сопровождения) государственных информационных систем Ленинградской области в полном объеме потребности на соответствующий год</w:t>
      </w:r>
      <w:r w:rsidR="001D74D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</w:p>
    <w:p w:rsidR="00D26BC7" w:rsidRPr="00444059" w:rsidRDefault="001D74D6" w:rsidP="006E06E0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связи с изменением законодательства 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расход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ы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на уплату налогов на имущество организаций</w:t>
      </w:r>
      <w:r w:rsidR="00CC23F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и земельн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ого</w:t>
      </w:r>
      <w:r w:rsidR="00CC23F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налог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</w:t>
      </w:r>
      <w:r w:rsidR="00CC23F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D26BC7" w:rsidRP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бюджетным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</w:t>
      </w:r>
      <w:r w:rsidR="00D26BC7" w:rsidRP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и автономным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</w:t>
      </w:r>
      <w:r w:rsidR="00D26BC7" w:rsidRP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учреждениям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Ленинградской области </w:t>
      </w:r>
      <w:r w:rsidR="005B1F2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необходимо </w:t>
      </w:r>
      <w:r w:rsidR="005B1F23" w:rsidRPr="005B1F2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планирова</w:t>
      </w:r>
      <w:r w:rsidR="005B1F2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ть</w:t>
      </w:r>
      <w:r w:rsidR="005B1F23" w:rsidRPr="005B1F2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составе</w:t>
      </w:r>
      <w:r w:rsidR="00D26BC7" w:rsidRPr="00D26BC7">
        <w:t xml:space="preserve"> 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</w:t>
      </w:r>
      <w:r w:rsidR="00D26BC7" w:rsidRP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убсиди</w:t>
      </w:r>
      <w:r w:rsidR="0062144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й</w:t>
      </w:r>
      <w:r w:rsidR="00D26BC7" w:rsidRP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на иные цели</w:t>
      </w:r>
      <w:r w:rsidR="00D26BC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</w:p>
    <w:p w:rsidR="002F2006" w:rsidRPr="002F2006" w:rsidRDefault="002F2006" w:rsidP="002F200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0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Кроме того</w:t>
      </w:r>
      <w:r w:rsidRPr="002F20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связи с вступлением </w:t>
      </w:r>
      <w:r w:rsidRPr="002F200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силу с 01.01.2028 </w:t>
      </w:r>
      <w:r w:rsidRPr="002F20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норм статьи 32 Федерального закона от 20.03.2025 № 33-ФЗ "Об общих принципах организации местного самоуправления в единой системе публичной власти" не предусматривать с 2028 года предоставление субсидий местным бюджетам Ленинградской области по третьей группе полномочий.</w:t>
      </w:r>
    </w:p>
    <w:p w:rsidR="006A0349" w:rsidRPr="00043653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  <w:r w:rsidRPr="00043653"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  <w:tab/>
      </w:r>
    </w:p>
    <w:p w:rsidR="006A0349" w:rsidRPr="00697BDE" w:rsidRDefault="006A0349" w:rsidP="00830E0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97B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Распределение общих (предельных) объемов бюджетных ассигнований областного бюджета Ленинградской области 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202</w:t>
      </w:r>
      <w:r w:rsidR="00697BDE"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7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697BDE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год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необходимо формировать на основе следующих основных подходов:</w:t>
      </w:r>
    </w:p>
    <w:p w:rsidR="00825EDF" w:rsidRPr="00043653" w:rsidRDefault="00825EDF" w:rsidP="001E6A6C">
      <w:pPr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bidi="ar-SA"/>
        </w:rPr>
      </w:pP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качестве "базовых" объемов бюджетных ассигнований принимать бюджетные ассигнования 202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7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года, утвержденные областным законом Ленинградской области от 2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.12.202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№ 17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-оз "Об областном бюджете Ленинградской области на 202</w:t>
      </w:r>
      <w:r w:rsidR="0007516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07516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7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07516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8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годов"  (далее - Закон №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val="en-US" w:bidi="ar-SA"/>
        </w:rPr>
        <w:t> 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17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-оз), с учетом внесенных изменений в сводную бюджетную роспись областного бюджета (по состоянию на 01.06.202</w:t>
      </w:r>
      <w:r w:rsidR="00697BDE"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), без учета расходов за счет безвозмездных поступлений; </w:t>
      </w:r>
    </w:p>
    <w:p w:rsidR="001E6A6C" w:rsidRPr="00F97BA5" w:rsidRDefault="00243C52" w:rsidP="001E6A6C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4D1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сохранить фонд оплаты труда на уровне 2027 года. При этом 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применять размер индексации расчетной величины для расчета должностных окл</w:t>
      </w:r>
      <w:r w:rsidR="00504638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адов работников государственных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учреждений Ленинградской области</w:t>
      </w:r>
      <w:r w:rsidR="00CC2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23FD" w:rsidRPr="00CC2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лиц, замещающих государственные должности Ленинградской области, окладов месячных денежных содержаний гражданских служащих Ленинградской области, а также месячных должностных окладов работников, замещающих должности, не являющиеся должностями государственной гражданской службы, 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E37AA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E37AA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.01.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F97BA5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006E8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1,05</w:t>
      </w:r>
      <w:r w:rsidR="00F97BA5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E006E8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соответствующий индексу потребительских цен в среднем за год (в % к предыдущему году) по базовому варианту</w:t>
      </w:r>
      <w:r w:rsidR="004D1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4D1800" w:rsidRPr="00CC23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 счет повышения производительности труда </w:t>
      </w:r>
      <w:r w:rsidR="00A3218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бюджетного сектора </w:t>
      </w:r>
      <w:r w:rsidR="004D1800" w:rsidRPr="00CC23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 оптимизации штатной численности</w:t>
      </w:r>
      <w:r w:rsidR="00A85B5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E554C2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E6A6C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установления должностных окладов работникам государственных учреждений Ленинградской области </w:t>
      </w:r>
      <w:r w:rsidR="00A85B5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E37AA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01.01.202</w:t>
      </w:r>
      <w:r w:rsidR="00F97BA5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1E6A6C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применять расчетную величину </w:t>
      </w:r>
      <w:r w:rsidR="00CC2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15 </w:t>
      </w:r>
      <w:r w:rsidR="00F97BA5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720,00 </w:t>
      </w:r>
      <w:r w:rsidR="001E6A6C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рублей</w:t>
      </w:r>
      <w:r w:rsidR="00A85B5F" w:rsidRPr="00F97B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AC1F76" w:rsidRDefault="00AC1F76" w:rsidP="00AC1F7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05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применять коэффициент индексации расходов на социальное обеспечение по отдельным мерам социальной поддержки на прогнозный уровень индекса потребительских цен в размере 1,05</w:t>
      </w:r>
      <w:r w:rsidR="00300512" w:rsidRPr="003005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3005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01FCC" w:rsidRDefault="00901FCC" w:rsidP="00E668D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1F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запланировать расходы дорожного фонда Ленинградской области в объеме доходов, формирующих дорожный фонд Ленинградской области, в сумме </w:t>
      </w:r>
      <w:r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19 421 006,7 тысяч рублей;</w:t>
      </w:r>
    </w:p>
    <w:p w:rsidR="0062144D" w:rsidRDefault="0062144D" w:rsidP="00E668D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2144D" w:rsidRDefault="0062144D" w:rsidP="00E668D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2144D" w:rsidRDefault="0062144D" w:rsidP="00E668D6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F8A" w:rsidRPr="001A1F8A" w:rsidRDefault="001A1F8A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оптимизировать на 10,0% расходы на:</w:t>
      </w:r>
    </w:p>
    <w:p w:rsidR="001A1F8A" w:rsidRPr="001A1F8A" w:rsidRDefault="001A1F8A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закупку товаров, работ и услуг для обеспечения государственных нужд (код вида расходов 200), при этом расходы на оплату коммунальных расходов следует предусмотреть с ростом на 5,7% от уровня 2026 года за счет оптимизации других расходов по данному виду расходов;</w:t>
      </w:r>
    </w:p>
    <w:p w:rsidR="001A1F8A" w:rsidRPr="001A1F8A" w:rsidRDefault="001A1F8A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субсидий бюджетам муниципальных образований Ленинградской области (за исключением субсидий на капитальные вложения);</w:t>
      </w:r>
    </w:p>
    <w:p w:rsidR="001A1F8A" w:rsidRPr="001F482C" w:rsidRDefault="00A3218F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21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предоставление </w:t>
      </w:r>
      <w:r w:rsidR="001A1F8A"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субсиди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="001A1F8A"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бюджетным и автономным учреждениям на иные </w:t>
      </w:r>
      <w:r w:rsidR="001A1F8A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цели</w:t>
      </w:r>
      <w:r w:rsidR="00C75B3C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(например, </w:t>
      </w:r>
      <w:r w:rsidR="00D374AD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C75B3C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укрепление матер</w:t>
      </w:r>
      <w:r w:rsidR="001F482C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иально - технической базы и т.п.</w:t>
      </w:r>
      <w:r w:rsidR="00C75B3C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1A1F8A" w:rsidRP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A1F8A" w:rsidRPr="001A1F8A" w:rsidRDefault="00A3218F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21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предоставление </w:t>
      </w:r>
      <w:r w:rsidR="001A1F8A"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субсиди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="001A1F8A"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юридическим лицам, индивидуальным предпринимателям, физическим лицам - производителям товаров, работ,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(за счет пересмотра мер поддержки)</w:t>
      </w:r>
      <w:r w:rsidR="001A1F8A" w:rsidRPr="001A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A1F8A" w:rsidRPr="00697BDE" w:rsidRDefault="001A1F8A" w:rsidP="001A1F8A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697BDE" w:rsidRDefault="006A0349" w:rsidP="00B24B5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97B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Общие (предельные) объемы бюджетных ассигнований областного бюджета Ленинградской области на плановый период 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697BDE"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8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697BDE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года</w:t>
      </w:r>
      <w:r w:rsidRPr="00697BD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формировать на основе следующих основных подходов:</w:t>
      </w:r>
    </w:p>
    <w:p w:rsidR="00901FCC" w:rsidRPr="00901FCC" w:rsidRDefault="00901FCC" w:rsidP="00901FCC">
      <w:pPr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01F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запланировать расходы дорожного фонда Ленинградской области в объеме доходов, формирующих дорожный фонд Ленинградской области, в сумме 20 130 338,8 тысяч рублей;</w:t>
      </w:r>
    </w:p>
    <w:p w:rsidR="005C4E85" w:rsidRPr="00390B2E" w:rsidRDefault="005C4E85" w:rsidP="005C4E85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запланировать</w:t>
      </w:r>
      <w:r w:rsidR="00FD2B69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расходы не выше уровня бюджетных ассигнований, сформированных на 202</w:t>
      </w:r>
      <w:r w:rsidR="00390B2E"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год.</w:t>
      </w:r>
    </w:p>
    <w:p w:rsidR="00FC45DD" w:rsidRPr="00043653" w:rsidRDefault="00FC45DD" w:rsidP="00830E04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6A0349" w:rsidRPr="00697BDE" w:rsidRDefault="006A0349" w:rsidP="00830E04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7B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Общие (предельные) объемы бюджетных ассигнований областного бюджета Ленинградской области на плановый период 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697BDE"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Pr="00697B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года</w:t>
      </w:r>
      <w:r w:rsidRPr="00697B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формировать на основе следующих основных подходов:</w:t>
      </w:r>
    </w:p>
    <w:p w:rsidR="004E189F" w:rsidRPr="004E189F" w:rsidRDefault="004E189F" w:rsidP="004E189F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E18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запланировать расходы дорожного фонда Ленинградской области в объеме доходов, формирующих дорожный фонд Ленинградской области, в сумме 20 263 766,8 тысяч рублей;</w:t>
      </w:r>
    </w:p>
    <w:p w:rsidR="005C4E85" w:rsidRPr="00390B2E" w:rsidRDefault="005C4E85" w:rsidP="005C4E85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запланировать расходы не выше уровня бюджетных ассигнований, сформированных на 202</w:t>
      </w:r>
      <w:r w:rsid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390B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год.</w:t>
      </w:r>
    </w:p>
    <w:p w:rsidR="008F1C37" w:rsidRPr="00033B99" w:rsidRDefault="008F1C37" w:rsidP="00462E70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2B4399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Контрольные цифры не включают в себя расходы, производимые за счет безвозмездных поступлений из федерального бюджета, бюджет</w:t>
      </w:r>
      <w:r w:rsidR="005F745A"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</w:t>
      </w: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Санкт-Петербурга, </w:t>
      </w:r>
      <w:r w:rsidR="005F745A"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Фонда пенсионного и социального страхования Российской Федерации</w:t>
      </w:r>
      <w:r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  <w:r w:rsidR="005F745A" w:rsidRPr="00033B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Публично-</w:t>
      </w:r>
      <w:r w:rsidR="005F745A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правовой компании "Фонд развития территорий"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</w:p>
    <w:p w:rsidR="006A0349" w:rsidRDefault="006A0349" w:rsidP="00830E04">
      <w:pPr>
        <w:widowControl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При этом, Проект бюджета будет сформирован с учетом безвозмездных поступлений на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и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8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годы, утвержденных Законом № </w:t>
      </w:r>
      <w:r w:rsidR="00E2745D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</w:t>
      </w:r>
      <w:r w:rsidR="00CE639A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="00697BDE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</w:t>
      </w:r>
      <w:r w:rsidR="005F745A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оз (</w:t>
      </w:r>
      <w:r w:rsidR="007B4802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соответствии с Федеральным законом 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от 28.11.2025 № 426-ФЗ </w:t>
      </w:r>
      <w:r w:rsidR="007B4802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"О федеральном бюджете на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7B4802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 и на плановый период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="007B4802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и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8</w:t>
      </w:r>
      <w:r w:rsidR="007B4802" w:rsidRPr="002B43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годов"</w:t>
      </w:r>
      <w:r w:rsidRPr="002B43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6A0349" w:rsidRPr="002B4399" w:rsidRDefault="006A0349" w:rsidP="00830E04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получении уточненной информации о безвозмездных поступлениях из федерального бюджета и других бюджетов бюджетной системы Российской Федерации на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годы, указанная информация будет доведена комитетом финансов Ленинградской области до главных распорядителей дополнительно.</w:t>
      </w:r>
    </w:p>
    <w:p w:rsidR="001F482C" w:rsidRDefault="001F482C" w:rsidP="003D7F9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349" w:rsidRPr="002B4399" w:rsidRDefault="006A0349" w:rsidP="003D7F9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Контрольные цифры сформированы в соответствии со </w:t>
      </w:r>
      <w:hyperlink r:id="rId7" w:history="1">
        <w:r w:rsidRPr="002B439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структурой</w:t>
        </w:r>
      </w:hyperlink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исполнительных органов государственной власти Ленинградской области, действующей в 202</w:t>
      </w:r>
      <w:r w:rsidR="002B4399"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3D7F98"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году, и </w:t>
      </w: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включают  в себя расходы по государственным программам Ленинградской области и непрограммным направлениям.</w:t>
      </w:r>
    </w:p>
    <w:p w:rsidR="006A0349" w:rsidRPr="00033B99" w:rsidRDefault="006A0349" w:rsidP="00830E04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B43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B43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Главные распорядители осуществляют планирование бюджетных </w:t>
      </w:r>
      <w:r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ассигнований в соответствии с полномочиями, установленными им постановлением Правительства Ленинградской области от 21.07.2008 № 211 "Об утверждении Положения о порядке разработки проекта областного бюджета Ленинградской области и проекта бюджета Территориального фонда обязательного медицинского страхования Ленинградской области на очередной финансовый год и на плановый период" (с изменениями).</w:t>
      </w:r>
    </w:p>
    <w:p w:rsidR="006A0349" w:rsidRPr="00033B99" w:rsidRDefault="006A0349" w:rsidP="00830E0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Планирование бюджетных ассигнований областного бюджета Ленинградской области осуществляется в соответствии с приказом комитета финансов Ленинградской области от 25.05.2016 № 18-02/01-02-54 "Об утверждении порядка и методики планирования бюджетных ассигнований областного бюджета Ленинградской области" (</w:t>
      </w:r>
      <w:r w:rsidR="00480421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редакции </w:t>
      </w:r>
      <w:r w:rsidR="00033B99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 21.05.2026 </w:t>
      </w:r>
      <w:r w:rsidR="00873F3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 w:rsidR="00033B99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18-02/02-12</w:t>
      </w:r>
      <w:r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FC45DD" w:rsidRPr="00033B99" w:rsidRDefault="00FC45DD" w:rsidP="00830E04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A0349" w:rsidRPr="00033B99" w:rsidRDefault="006A0349" w:rsidP="00830E04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033B9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Порядок работы в информационной системе</w:t>
      </w:r>
    </w:p>
    <w:p w:rsidR="006A0349" w:rsidRPr="00033B99" w:rsidRDefault="006A0349" w:rsidP="00830E04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033B9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"Управление бюджетным процессом Ленинградской области"</w:t>
      </w:r>
    </w:p>
    <w:p w:rsidR="006A0349" w:rsidRPr="00033B99" w:rsidRDefault="006A0349" w:rsidP="00830E04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A0349" w:rsidRPr="003109E3" w:rsidRDefault="006A0349" w:rsidP="00830E0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Формирование Проекта бюджета </w:t>
      </w:r>
      <w:r w:rsidRPr="00033B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осуществляется </w:t>
      </w:r>
      <w:r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главными распорядителями в </w:t>
      </w:r>
      <w:r w:rsidR="00A8676A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подсистеме "АЦК-Планирование</w:t>
      </w:r>
      <w:r w:rsidR="00EA4514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-202</w:t>
      </w:r>
      <w:r w:rsidR="00033B99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="00A8676A" w:rsidRPr="00033B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" информационной системы "Управление </w:t>
      </w:r>
      <w:r w:rsidR="00A8676A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бюджетным процессом Ленинградской области"</w:t>
      </w:r>
      <w:r w:rsidR="00B239CC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(далее - "АЦК-Планирование-202</w:t>
      </w:r>
      <w:r w:rsidR="00033B99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="00B239CC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")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A0349" w:rsidRPr="003109E3" w:rsidRDefault="006A0349" w:rsidP="00830E0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Для этих целей создана версия "</w:t>
      </w:r>
      <w:r w:rsidR="003109E3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Контрольные цифры 2027-2029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", в которую </w:t>
      </w:r>
      <w:r w:rsidRPr="003109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осуществлен автоматический перенос бюджетных заявок и бюджетных заявок на изменение ассигнований из "АЦК-Планирование 202</w:t>
      </w:r>
      <w:r w:rsidR="003109E3" w:rsidRPr="003109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3109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". 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версии "</w:t>
      </w:r>
      <w:r w:rsidR="003109E3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Контрольные цифры 2027-2029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" сформированы бюджетные заявки со статусом "</w:t>
      </w:r>
      <w:r w:rsidR="008C647D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Отложен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". </w:t>
      </w:r>
    </w:p>
    <w:p w:rsidR="006A0349" w:rsidRPr="003109E3" w:rsidRDefault="006A0349" w:rsidP="004764B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целях формирования Проекта бюджета необходимо откорректировать бюджетные заявки в соответствии с доведенными </w:t>
      </w:r>
      <w:r w:rsidRPr="003109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контрольными цифрами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создать сводные бюджетные заявки.</w:t>
      </w:r>
      <w:r w:rsidR="004764BD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Также необходимо создать сводные бюджетные заявки </w:t>
      </w:r>
      <w:r w:rsidR="00502A94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 бюджетным ассигнованиям 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за счет </w:t>
      </w:r>
      <w:r w:rsidR="004764BD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безвозмездных поступлений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A0349" w:rsidRPr="00321738" w:rsidRDefault="006A0349" w:rsidP="00830E0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Наличие бюджетных заявок на изменение ассигнований, "минусовых" сумм в бюджетных заявках, </w:t>
      </w:r>
      <w:r w:rsidR="00CF6060"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 также нулевых строк </w:t>
      </w:r>
      <w:r w:rsidRPr="003109E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указанной версии </w:t>
      </w:r>
      <w:r w:rsidRPr="003109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не </w:t>
      </w:r>
      <w:r w:rsidRPr="0032173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допускается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F656AA" w:rsidRPr="00321738" w:rsidRDefault="00F656AA" w:rsidP="00830E04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6A0349" w:rsidRPr="00321738" w:rsidRDefault="006A0349" w:rsidP="00830E04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32173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Порядок формирования и применения кодов бюджетной классификации</w:t>
      </w:r>
    </w:p>
    <w:p w:rsidR="006A0349" w:rsidRPr="00043653" w:rsidRDefault="006A0349" w:rsidP="00830E04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6A0349" w:rsidRPr="00BC2235" w:rsidRDefault="006A0349" w:rsidP="00830E0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3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Распределение бюджетных ассигнований на 202</w:t>
      </w:r>
      <w:r w:rsidR="00873F39" w:rsidRPr="00873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873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873F3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873F3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 по кодам </w:t>
      </w:r>
      <w:r w:rsidR="00863AE6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бюджетной 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классификации расходов бюджетов следует осуществлять:</w:t>
      </w:r>
    </w:p>
    <w:p w:rsidR="000A4AE4" w:rsidRPr="00BC2235" w:rsidRDefault="006A0349" w:rsidP="000A4AE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</w:t>
      </w:r>
      <w:r w:rsidR="000A4AE4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0A4AE4" w:rsidRPr="00BC2235" w:rsidRDefault="000A4AE4" w:rsidP="000A4AE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6A034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приказ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="006A034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Министерств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финансов Российской Федерации от 24.05.2022 № </w:t>
      </w:r>
      <w:r w:rsidR="006A034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82н </w:t>
      </w:r>
      <w:r w:rsidR="00BC2235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(с изменениями) </w:t>
      </w:r>
      <w:r w:rsidR="006A034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"О Порядке формирования и применения кодов бюджетной классификации Российской Федерации, их структуре и принципах назначения"</w:t>
      </w:r>
      <w:r w:rsidR="00BB41B4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A0349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– Приказ № 82н);</w:t>
      </w:r>
    </w:p>
    <w:p w:rsidR="000A4AE4" w:rsidRPr="00BC2235" w:rsidRDefault="000A4AE4" w:rsidP="000A4AE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с приказ</w:t>
      </w:r>
      <w:r w:rsidR="007972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ом 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Министерства финансов Российской Федерации </w:t>
      </w:r>
      <w:r w:rsidR="007972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10.06.2026 № 74н 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"Об утверждении кодов (перечней кодов) бюджетной классификации Российской Федерации на 202</w:t>
      </w:r>
      <w:r w:rsidR="00777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(на 202</w:t>
      </w:r>
      <w:r w:rsidR="00777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777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777D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годов)" (далее – </w:t>
      </w:r>
      <w:r w:rsidR="007972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№ 74н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);</w:t>
      </w:r>
    </w:p>
    <w:p w:rsidR="008C7B2C" w:rsidRPr="00BC2235" w:rsidRDefault="008C7B2C" w:rsidP="00A24F1C">
      <w:pPr>
        <w:widowControl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учетом:</w:t>
      </w:r>
    </w:p>
    <w:p w:rsidR="006A0349" w:rsidRPr="00BC2235" w:rsidRDefault="008D60EE" w:rsidP="00A24F1C">
      <w:pPr>
        <w:widowControl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т</w:t>
      </w:r>
      <w:r w:rsidR="002400DC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аблицы соответствия разделов (подразделов) и видов расходов классификации расходов бюджетов, применяемых при составлении и исполнении федерального бюджета на 202</w:t>
      </w:r>
      <w:r w:rsidR="00BC2235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2400DC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BC2235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2400DC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BC2235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2400DC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="008C7B2C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C7B2C" w:rsidRPr="00BC2235" w:rsidRDefault="008C7B2C" w:rsidP="00A24F1C">
      <w:pPr>
        <w:widowControl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применяемая в 202</w:t>
      </w:r>
      <w:r w:rsidR="00BC2235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году;</w:t>
      </w:r>
    </w:p>
    <w:p w:rsidR="000A4AE4" w:rsidRPr="00757979" w:rsidRDefault="008C7B2C" w:rsidP="000A4AE4">
      <w:pPr>
        <w:widowControl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приказом комитета финансов Ленинградской области </w:t>
      </w:r>
      <w:r w:rsidR="003B720D" w:rsidRPr="00BC22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26.12.2024 № 18-02/02-42 (с изменениями</w:t>
      </w:r>
      <w:r w:rsidR="003B720D" w:rsidRPr="009244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"Об утверждении Указаний о порядке применения бюджетной классификации областного бюджета Ленинградской области, бюджета Территориального фонда обязательного медицинского страхования Ленинградской области и дополнительных аналитических кодов"</w:t>
      </w:r>
      <w:r w:rsidRPr="009244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Pr="007579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далее – Приказ КФ).</w:t>
      </w:r>
    </w:p>
    <w:p w:rsidR="000A4AE4" w:rsidRPr="00A72FBC" w:rsidRDefault="000A4AE4" w:rsidP="00631E23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№ 82н и Приказ КФ размещены в информационно-правовой базе "КонсультантПлюс".</w:t>
      </w:r>
      <w:r w:rsidR="00631E23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972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№ 74н</w:t>
      </w:r>
      <w:r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BB41B4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6226E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вышеуказанные таблицы</w:t>
      </w:r>
      <w:r w:rsidR="00BB41B4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размещены</w:t>
      </w:r>
      <w:r w:rsidR="00BB41B4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</w:t>
      </w:r>
      <w:r w:rsidR="002400DC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ах</w:t>
      </w:r>
      <w:r w:rsidR="00BB41B4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"Нормативные правовые акты и методические рекомендации"</w:t>
      </w:r>
      <w:r w:rsidR="002400DC"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"Методический кабинет"</w:t>
      </w:r>
      <w:r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 также </w:t>
      </w:r>
      <w:r w:rsidR="001F4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будут размещены </w:t>
      </w:r>
      <w:r w:rsidRPr="00A72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информационно-правовой базе "КонсультантПлюс".</w:t>
      </w:r>
    </w:p>
    <w:p w:rsidR="006A0349" w:rsidRPr="00757979" w:rsidRDefault="006A0349" w:rsidP="00830E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72FB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части порядка применения дополнительных кодов (КОСГУ) расходов областного бюджета Ленинградской </w:t>
      </w:r>
      <w:r w:rsidRPr="0075797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области следует руководствоваться Приказом Министерства финансов Российской Федерации России от 29.11.2017 № 209н </w:t>
      </w:r>
      <w:r w:rsidR="00BC223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(с изменениями) </w:t>
      </w:r>
      <w:r w:rsidRPr="0075797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"Об утверждении Порядка применения классификации операций сектора государственного управления"</w:t>
      </w:r>
      <w:r w:rsidR="00BC223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Pr="0075797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6A0349" w:rsidRPr="00321738" w:rsidRDefault="006A0349" w:rsidP="000502C7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217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соответствии с пунктами </w:t>
      </w:r>
      <w:r w:rsidR="00B239CC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29</w:t>
      </w:r>
      <w:r w:rsidR="003B720D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3</w:t>
      </w:r>
      <w:r w:rsidR="00B239CC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0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B720D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34 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Плана-графика</w:t>
      </w:r>
      <w:r w:rsidRPr="003217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B720D" w:rsidRPr="003217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главным распорядителям </w:t>
      </w:r>
      <w:r w:rsidRPr="003217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необходимо </w:t>
      </w:r>
      <w:r w:rsidR="001705FB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"АЦК-Планирование-2027" 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сформировать </w:t>
      </w:r>
      <w:r w:rsidR="001705FB" w:rsidRPr="001705F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(откорректировать существующие) 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бюджетные заявки </w:t>
      </w:r>
      <w:r w:rsidR="003B720D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="008348A7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сформировать </w:t>
      </w:r>
      <w:r w:rsidR="003B720D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сводные заявки 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доведенными контрольными цифрами </w:t>
      </w:r>
      <w:r w:rsidRPr="003217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представить в отраслевые </w:t>
      </w:r>
      <w:r w:rsidR="00321738"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департаменты</w:t>
      </w:r>
      <w:r w:rsidRPr="003217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комитета финансов Ленинградской области обоснования бюджетных ассигнований (ОБАСы) </w:t>
      </w:r>
      <w:r w:rsidRPr="003217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 срок до 1</w:t>
      </w:r>
      <w:r w:rsidR="00B239CC" w:rsidRPr="003217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5</w:t>
      </w:r>
      <w:r w:rsidRPr="003217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июля 202</w:t>
      </w:r>
      <w:r w:rsidR="00321738" w:rsidRPr="003217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Pr="003217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года.</w:t>
      </w:r>
    </w:p>
    <w:sectPr w:rsidR="006A0349" w:rsidRPr="00321738" w:rsidSect="00D76083">
      <w:footerReference w:type="even" r:id="rId8"/>
      <w:footerReference w:type="default" r:id="rId9"/>
      <w:pgSz w:w="11907" w:h="16840" w:code="9"/>
      <w:pgMar w:top="993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64" w:rsidRDefault="00B10964">
      <w:r>
        <w:separator/>
      </w:r>
    </w:p>
  </w:endnote>
  <w:endnote w:type="continuationSeparator" w:id="0">
    <w:p w:rsidR="00B10964" w:rsidRDefault="00B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701754"/>
      <w:docPartObj>
        <w:docPartGallery w:val="Page Numbers (Bottom of Page)"/>
        <w:docPartUnique/>
      </w:docPartObj>
    </w:sdtPr>
    <w:sdtEndPr/>
    <w:sdtContent>
      <w:p w:rsidR="004764BD" w:rsidRDefault="004764B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99D">
          <w:rPr>
            <w:noProof/>
          </w:rPr>
          <w:t>6</w:t>
        </w:r>
        <w:r>
          <w:fldChar w:fldCharType="end"/>
        </w:r>
      </w:p>
    </w:sdtContent>
  </w:sdt>
  <w:p w:rsidR="004764BD" w:rsidRDefault="004764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237054"/>
      <w:docPartObj>
        <w:docPartGallery w:val="Page Numbers (Bottom of Page)"/>
        <w:docPartUnique/>
      </w:docPartObj>
    </w:sdtPr>
    <w:sdtEndPr/>
    <w:sdtContent>
      <w:p w:rsidR="00D86A19" w:rsidRDefault="00D86A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99D">
          <w:rPr>
            <w:noProof/>
          </w:rPr>
          <w:t>1</w:t>
        </w:r>
        <w:r>
          <w:fldChar w:fldCharType="end"/>
        </w:r>
      </w:p>
    </w:sdtContent>
  </w:sdt>
  <w:p w:rsidR="00830E04" w:rsidRDefault="00830E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64" w:rsidRDefault="00B10964"/>
  </w:footnote>
  <w:footnote w:type="continuationSeparator" w:id="0">
    <w:p w:rsidR="00B10964" w:rsidRDefault="00B109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65CE"/>
    <w:rsid w:val="000071E3"/>
    <w:rsid w:val="000162FB"/>
    <w:rsid w:val="00033B99"/>
    <w:rsid w:val="00043653"/>
    <w:rsid w:val="0004699D"/>
    <w:rsid w:val="000502C7"/>
    <w:rsid w:val="00054B61"/>
    <w:rsid w:val="00066E95"/>
    <w:rsid w:val="00075163"/>
    <w:rsid w:val="000901AC"/>
    <w:rsid w:val="000A2DDD"/>
    <w:rsid w:val="000A4AE4"/>
    <w:rsid w:val="000C71C9"/>
    <w:rsid w:val="000D3122"/>
    <w:rsid w:val="000D4A2C"/>
    <w:rsid w:val="000F0684"/>
    <w:rsid w:val="000F144F"/>
    <w:rsid w:val="00123751"/>
    <w:rsid w:val="00157379"/>
    <w:rsid w:val="001705FB"/>
    <w:rsid w:val="001731E2"/>
    <w:rsid w:val="00180D45"/>
    <w:rsid w:val="001A1F8A"/>
    <w:rsid w:val="001A45C1"/>
    <w:rsid w:val="001B009A"/>
    <w:rsid w:val="001C0453"/>
    <w:rsid w:val="001D1B09"/>
    <w:rsid w:val="001D4369"/>
    <w:rsid w:val="001D74D6"/>
    <w:rsid w:val="001D74FE"/>
    <w:rsid w:val="001E6A6C"/>
    <w:rsid w:val="001F482C"/>
    <w:rsid w:val="00212248"/>
    <w:rsid w:val="002400DC"/>
    <w:rsid w:val="00243C52"/>
    <w:rsid w:val="002729B0"/>
    <w:rsid w:val="002809DD"/>
    <w:rsid w:val="0028179E"/>
    <w:rsid w:val="002A5E4D"/>
    <w:rsid w:val="002B4399"/>
    <w:rsid w:val="002C1DE0"/>
    <w:rsid w:val="002D3BAC"/>
    <w:rsid w:val="002D5406"/>
    <w:rsid w:val="002E3D6C"/>
    <w:rsid w:val="002E44A1"/>
    <w:rsid w:val="002F2006"/>
    <w:rsid w:val="002F528B"/>
    <w:rsid w:val="00300512"/>
    <w:rsid w:val="003109E3"/>
    <w:rsid w:val="00321738"/>
    <w:rsid w:val="00326417"/>
    <w:rsid w:val="0035169D"/>
    <w:rsid w:val="00371F8C"/>
    <w:rsid w:val="00381A7A"/>
    <w:rsid w:val="003874C6"/>
    <w:rsid w:val="00390B2E"/>
    <w:rsid w:val="00395339"/>
    <w:rsid w:val="003958CC"/>
    <w:rsid w:val="003B1AEC"/>
    <w:rsid w:val="003B2FAC"/>
    <w:rsid w:val="003B720D"/>
    <w:rsid w:val="003D0A9F"/>
    <w:rsid w:val="003D4757"/>
    <w:rsid w:val="003D7F98"/>
    <w:rsid w:val="003E3098"/>
    <w:rsid w:val="003F0F63"/>
    <w:rsid w:val="003F2765"/>
    <w:rsid w:val="0040383D"/>
    <w:rsid w:val="00413D94"/>
    <w:rsid w:val="00444059"/>
    <w:rsid w:val="00462406"/>
    <w:rsid w:val="00462E70"/>
    <w:rsid w:val="004764BD"/>
    <w:rsid w:val="00480421"/>
    <w:rsid w:val="004856B2"/>
    <w:rsid w:val="00485A40"/>
    <w:rsid w:val="00486333"/>
    <w:rsid w:val="00492CB4"/>
    <w:rsid w:val="004932F8"/>
    <w:rsid w:val="004A1760"/>
    <w:rsid w:val="004B164C"/>
    <w:rsid w:val="004C78E0"/>
    <w:rsid w:val="004D1800"/>
    <w:rsid w:val="004E189F"/>
    <w:rsid w:val="004F149F"/>
    <w:rsid w:val="004F6707"/>
    <w:rsid w:val="004F6977"/>
    <w:rsid w:val="005018CD"/>
    <w:rsid w:val="00502A94"/>
    <w:rsid w:val="00504423"/>
    <w:rsid w:val="00504638"/>
    <w:rsid w:val="005066D9"/>
    <w:rsid w:val="00507FEC"/>
    <w:rsid w:val="00530F5C"/>
    <w:rsid w:val="00537927"/>
    <w:rsid w:val="005567EF"/>
    <w:rsid w:val="00567450"/>
    <w:rsid w:val="00570EE1"/>
    <w:rsid w:val="005910E7"/>
    <w:rsid w:val="005923C4"/>
    <w:rsid w:val="005A0B11"/>
    <w:rsid w:val="005A7956"/>
    <w:rsid w:val="005B1F23"/>
    <w:rsid w:val="005B7E1C"/>
    <w:rsid w:val="005C0C67"/>
    <w:rsid w:val="005C37E6"/>
    <w:rsid w:val="005C4E85"/>
    <w:rsid w:val="005C7884"/>
    <w:rsid w:val="005E3412"/>
    <w:rsid w:val="005E5184"/>
    <w:rsid w:val="005F2577"/>
    <w:rsid w:val="005F745A"/>
    <w:rsid w:val="00604E9E"/>
    <w:rsid w:val="00611488"/>
    <w:rsid w:val="0062144D"/>
    <w:rsid w:val="00625DA4"/>
    <w:rsid w:val="00630461"/>
    <w:rsid w:val="00631E23"/>
    <w:rsid w:val="00651E16"/>
    <w:rsid w:val="00653700"/>
    <w:rsid w:val="00666FE0"/>
    <w:rsid w:val="006724AD"/>
    <w:rsid w:val="00694A6A"/>
    <w:rsid w:val="00697BDE"/>
    <w:rsid w:val="006A0349"/>
    <w:rsid w:val="006A19F5"/>
    <w:rsid w:val="006A4377"/>
    <w:rsid w:val="006C188D"/>
    <w:rsid w:val="006C4B21"/>
    <w:rsid w:val="006D2334"/>
    <w:rsid w:val="006E06E0"/>
    <w:rsid w:val="006E7A80"/>
    <w:rsid w:val="006F1E6F"/>
    <w:rsid w:val="006F4B36"/>
    <w:rsid w:val="00726B7F"/>
    <w:rsid w:val="0073356A"/>
    <w:rsid w:val="007547E6"/>
    <w:rsid w:val="00757979"/>
    <w:rsid w:val="0076437E"/>
    <w:rsid w:val="00777DEA"/>
    <w:rsid w:val="007902E4"/>
    <w:rsid w:val="00791F65"/>
    <w:rsid w:val="00797241"/>
    <w:rsid w:val="007A740D"/>
    <w:rsid w:val="007B43AC"/>
    <w:rsid w:val="007B4802"/>
    <w:rsid w:val="007B536A"/>
    <w:rsid w:val="007B6493"/>
    <w:rsid w:val="007D4F45"/>
    <w:rsid w:val="007E2136"/>
    <w:rsid w:val="007E7A01"/>
    <w:rsid w:val="007F460C"/>
    <w:rsid w:val="008064AF"/>
    <w:rsid w:val="00825EDF"/>
    <w:rsid w:val="00830E04"/>
    <w:rsid w:val="008348A7"/>
    <w:rsid w:val="008418F3"/>
    <w:rsid w:val="00852709"/>
    <w:rsid w:val="00853249"/>
    <w:rsid w:val="008621EF"/>
    <w:rsid w:val="0086226E"/>
    <w:rsid w:val="00862491"/>
    <w:rsid w:val="00863AE6"/>
    <w:rsid w:val="00873424"/>
    <w:rsid w:val="00873F39"/>
    <w:rsid w:val="00882E21"/>
    <w:rsid w:val="008841E9"/>
    <w:rsid w:val="00884826"/>
    <w:rsid w:val="00884830"/>
    <w:rsid w:val="00884C8E"/>
    <w:rsid w:val="008A3CD9"/>
    <w:rsid w:val="008A7C5E"/>
    <w:rsid w:val="008B54FA"/>
    <w:rsid w:val="008C1A5E"/>
    <w:rsid w:val="008C6372"/>
    <w:rsid w:val="008C647D"/>
    <w:rsid w:val="008C7B2C"/>
    <w:rsid w:val="008D60EE"/>
    <w:rsid w:val="008F1C37"/>
    <w:rsid w:val="008F6361"/>
    <w:rsid w:val="00901FCC"/>
    <w:rsid w:val="009244E8"/>
    <w:rsid w:val="0095207C"/>
    <w:rsid w:val="00954D47"/>
    <w:rsid w:val="00966978"/>
    <w:rsid w:val="009708BE"/>
    <w:rsid w:val="00993850"/>
    <w:rsid w:val="009A30CB"/>
    <w:rsid w:val="009B45BA"/>
    <w:rsid w:val="009C2A5E"/>
    <w:rsid w:val="009C547A"/>
    <w:rsid w:val="00A10513"/>
    <w:rsid w:val="00A22AD9"/>
    <w:rsid w:val="00A23E6B"/>
    <w:rsid w:val="00A24F1C"/>
    <w:rsid w:val="00A3218F"/>
    <w:rsid w:val="00A401F5"/>
    <w:rsid w:val="00A42662"/>
    <w:rsid w:val="00A43488"/>
    <w:rsid w:val="00A70D2E"/>
    <w:rsid w:val="00A72FBC"/>
    <w:rsid w:val="00A85B5F"/>
    <w:rsid w:val="00A8676A"/>
    <w:rsid w:val="00AB5942"/>
    <w:rsid w:val="00AC1F76"/>
    <w:rsid w:val="00AD13BC"/>
    <w:rsid w:val="00B10964"/>
    <w:rsid w:val="00B15714"/>
    <w:rsid w:val="00B239CC"/>
    <w:rsid w:val="00B24B55"/>
    <w:rsid w:val="00B34D61"/>
    <w:rsid w:val="00B416DC"/>
    <w:rsid w:val="00B51DDC"/>
    <w:rsid w:val="00B52872"/>
    <w:rsid w:val="00B963E9"/>
    <w:rsid w:val="00BA2B7D"/>
    <w:rsid w:val="00BB41B4"/>
    <w:rsid w:val="00BC2235"/>
    <w:rsid w:val="00BC5C1F"/>
    <w:rsid w:val="00BD27B4"/>
    <w:rsid w:val="00BE0297"/>
    <w:rsid w:val="00BE4A65"/>
    <w:rsid w:val="00C11D41"/>
    <w:rsid w:val="00C2219D"/>
    <w:rsid w:val="00C22C52"/>
    <w:rsid w:val="00C30653"/>
    <w:rsid w:val="00C4548F"/>
    <w:rsid w:val="00C57DEF"/>
    <w:rsid w:val="00C62E2C"/>
    <w:rsid w:val="00C66FF8"/>
    <w:rsid w:val="00C67C99"/>
    <w:rsid w:val="00C738AC"/>
    <w:rsid w:val="00C75B3C"/>
    <w:rsid w:val="00C773E5"/>
    <w:rsid w:val="00C829F4"/>
    <w:rsid w:val="00C854FB"/>
    <w:rsid w:val="00C86831"/>
    <w:rsid w:val="00CA0CBB"/>
    <w:rsid w:val="00CA508C"/>
    <w:rsid w:val="00CB5C1C"/>
    <w:rsid w:val="00CC23FD"/>
    <w:rsid w:val="00CE3606"/>
    <w:rsid w:val="00CE639A"/>
    <w:rsid w:val="00CF6060"/>
    <w:rsid w:val="00CF7F2B"/>
    <w:rsid w:val="00D03217"/>
    <w:rsid w:val="00D23F58"/>
    <w:rsid w:val="00D26BC7"/>
    <w:rsid w:val="00D2710B"/>
    <w:rsid w:val="00D348A2"/>
    <w:rsid w:val="00D374AD"/>
    <w:rsid w:val="00D40A6A"/>
    <w:rsid w:val="00D41CD8"/>
    <w:rsid w:val="00D42762"/>
    <w:rsid w:val="00D5098F"/>
    <w:rsid w:val="00D5358C"/>
    <w:rsid w:val="00D61D9C"/>
    <w:rsid w:val="00D76083"/>
    <w:rsid w:val="00D80767"/>
    <w:rsid w:val="00D85FEB"/>
    <w:rsid w:val="00D86A19"/>
    <w:rsid w:val="00D93501"/>
    <w:rsid w:val="00DA50B3"/>
    <w:rsid w:val="00DB3F2C"/>
    <w:rsid w:val="00DB4716"/>
    <w:rsid w:val="00DB48D0"/>
    <w:rsid w:val="00DD27BF"/>
    <w:rsid w:val="00E006E8"/>
    <w:rsid w:val="00E06D2B"/>
    <w:rsid w:val="00E20A6C"/>
    <w:rsid w:val="00E20E6C"/>
    <w:rsid w:val="00E256AA"/>
    <w:rsid w:val="00E2745D"/>
    <w:rsid w:val="00E35C6D"/>
    <w:rsid w:val="00E37AAF"/>
    <w:rsid w:val="00E4169D"/>
    <w:rsid w:val="00E50BB7"/>
    <w:rsid w:val="00E554C2"/>
    <w:rsid w:val="00E66322"/>
    <w:rsid w:val="00E668D6"/>
    <w:rsid w:val="00E67865"/>
    <w:rsid w:val="00E71588"/>
    <w:rsid w:val="00E71968"/>
    <w:rsid w:val="00E87D42"/>
    <w:rsid w:val="00E94E95"/>
    <w:rsid w:val="00E965CE"/>
    <w:rsid w:val="00EA4514"/>
    <w:rsid w:val="00EA5DE3"/>
    <w:rsid w:val="00EC0270"/>
    <w:rsid w:val="00ED0C0C"/>
    <w:rsid w:val="00ED1745"/>
    <w:rsid w:val="00EE2C09"/>
    <w:rsid w:val="00EE6B30"/>
    <w:rsid w:val="00EF218E"/>
    <w:rsid w:val="00F06B11"/>
    <w:rsid w:val="00F43225"/>
    <w:rsid w:val="00F43AE5"/>
    <w:rsid w:val="00F46E2E"/>
    <w:rsid w:val="00F656AA"/>
    <w:rsid w:val="00F97BA5"/>
    <w:rsid w:val="00FC45DD"/>
    <w:rsid w:val="00FD0D24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8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120" w:line="206" w:lineRule="exac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4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D0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E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E04"/>
    <w:rPr>
      <w:color w:val="000000"/>
    </w:rPr>
  </w:style>
  <w:style w:type="paragraph" w:styleId="a9">
    <w:name w:val="footer"/>
    <w:basedOn w:val="a"/>
    <w:link w:val="aa"/>
    <w:uiPriority w:val="99"/>
    <w:unhideWhenUsed/>
    <w:rsid w:val="00830E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E0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8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120" w:line="206" w:lineRule="exac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4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D0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E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E04"/>
    <w:rPr>
      <w:color w:val="000000"/>
    </w:rPr>
  </w:style>
  <w:style w:type="paragraph" w:styleId="a9">
    <w:name w:val="footer"/>
    <w:basedOn w:val="a"/>
    <w:link w:val="aa"/>
    <w:uiPriority w:val="99"/>
    <w:unhideWhenUsed/>
    <w:rsid w:val="00830E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E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4FD037AE2EDC55FEC5137B1078AF48D2C47A20DF8A5E57428E5D77AE51111147D92B71D2E743CEyC1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Владимирович</dc:creator>
  <cp:lastModifiedBy>Борисова Наталья Олеговна</cp:lastModifiedBy>
  <cp:revision>2</cp:revision>
  <cp:lastPrinted>2026-06-26T13:19:00Z</cp:lastPrinted>
  <dcterms:created xsi:type="dcterms:W3CDTF">2026-07-01T13:59:00Z</dcterms:created>
  <dcterms:modified xsi:type="dcterms:W3CDTF">2026-07-01T13:59:00Z</dcterms:modified>
</cp:coreProperties>
</file>