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930" w:rsidRDefault="00757930">
      <w:pPr>
        <w:spacing w:after="1" w:line="220" w:lineRule="atLeast"/>
        <w:jc w:val="center"/>
        <w:outlineLvl w:val="0"/>
      </w:pPr>
      <w:bookmarkStart w:id="0" w:name="_GoBack"/>
      <w:bookmarkEnd w:id="0"/>
      <w:r>
        <w:rPr>
          <w:rFonts w:ascii="Calibri" w:hAnsi="Calibri" w:cs="Calibri"/>
          <w:b/>
        </w:rPr>
        <w:t>ПРАВИТЕЛЬСТВО ЛЕНИНГРАДСКОЙ ОБЛАСТИ</w:t>
      </w:r>
    </w:p>
    <w:p w:rsidR="00757930" w:rsidRDefault="00757930">
      <w:pPr>
        <w:spacing w:after="1" w:line="220" w:lineRule="atLeast"/>
        <w:jc w:val="center"/>
      </w:pP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19 февраля 2024 г. N 117</w:t>
      </w:r>
    </w:p>
    <w:p w:rsidR="00757930" w:rsidRDefault="00757930">
      <w:pPr>
        <w:spacing w:after="1" w:line="220" w:lineRule="atLeast"/>
        <w:jc w:val="center"/>
      </w:pP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ПОРЯДКА ПРЕДОСТАВЛЕНИЯ, ИСПОЛЬЗОВАНИЯ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И ВОЗВРАТА МУНИЦИПАЛЬНЫМИ ОБРАЗОВАНИЯМИ ЛЕНИНГРАДСКОЙ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ОБЛАСТИ БЮДЖЕТНЫХ КРЕДИТОВ, ПОЛУЧЕННЫХ ИЗ ОБЛАСТНОГО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БЮДЖЕТА ЛЕНИНГРАДСКОЙ ОБЛАСТИ НА ПОКРЫТИЕ ВРЕМЕННЫХ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КАССОВЫХ РАЗРЫВОВ, ВОЗНИКАЮЩИХ ПРИ ИСПОЛНЕНИИ БЮДЖЕТОВ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МУНИЦИПАЛЬНЫХ ОБРАЗОВАНИЙ ЛЕНИНГРАДСКОЙ ОБЛАСТИ</w:t>
      </w:r>
    </w:p>
    <w:p w:rsidR="00757930" w:rsidRDefault="00757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79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Ленинградской области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16.09.2024 </w:t>
            </w:r>
            <w:hyperlink r:id="rId4">
              <w:r>
                <w:rPr>
                  <w:rFonts w:ascii="Calibri" w:hAnsi="Calibri" w:cs="Calibri"/>
                  <w:color w:val="0000FF"/>
                </w:rPr>
                <w:t>N 645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13.04.2026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N 311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</w:tr>
    </w:tbl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со </w:t>
      </w:r>
      <w:hyperlink r:id="rId6">
        <w:r>
          <w:rPr>
            <w:rFonts w:ascii="Calibri" w:hAnsi="Calibri" w:cs="Calibri"/>
            <w:color w:val="0000FF"/>
          </w:rPr>
          <w:t>статьей 93.3</w:t>
        </w:r>
      </w:hyperlink>
      <w:r>
        <w:rPr>
          <w:rFonts w:ascii="Calibri" w:hAnsi="Calibri" w:cs="Calibri"/>
        </w:rPr>
        <w:t xml:space="preserve"> Бюджетного кодекса Российской Федерации Правительство Ленинградской области постановляет:</w:t>
      </w: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прилагаемый </w:t>
      </w:r>
      <w:hyperlink w:anchor="P4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 на покрытие временных кассовых разрывов, возникающих при исполнении бюджетов муниципальных образований Ленинградской области.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Признать утратившими силу:</w:t>
      </w:r>
    </w:p>
    <w:p w:rsidR="00757930" w:rsidRDefault="00145A37">
      <w:pPr>
        <w:spacing w:before="220" w:after="1" w:line="220" w:lineRule="atLeast"/>
        <w:ind w:firstLine="540"/>
        <w:jc w:val="both"/>
      </w:pPr>
      <w:hyperlink r:id="rId7">
        <w:r w:rsidR="00757930">
          <w:rPr>
            <w:rFonts w:ascii="Calibri" w:hAnsi="Calibri" w:cs="Calibri"/>
            <w:color w:val="0000FF"/>
          </w:rPr>
          <w:t>постановление</w:t>
        </w:r>
      </w:hyperlink>
      <w:r w:rsidR="00757930">
        <w:rPr>
          <w:rFonts w:ascii="Calibri" w:hAnsi="Calibri" w:cs="Calibri"/>
        </w:rPr>
        <w:t xml:space="preserve"> Правительства Ленинградской области от 30 декабря 2016 года N 544 "Об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области, а также реструктуризации обязательств (задолженности) по бюджетному кредиту";</w:t>
      </w:r>
    </w:p>
    <w:p w:rsidR="00757930" w:rsidRDefault="00145A37">
      <w:pPr>
        <w:spacing w:before="220" w:after="1" w:line="220" w:lineRule="atLeast"/>
        <w:ind w:firstLine="540"/>
        <w:jc w:val="both"/>
      </w:pPr>
      <w:hyperlink r:id="rId8">
        <w:r w:rsidR="00757930">
          <w:rPr>
            <w:rFonts w:ascii="Calibri" w:hAnsi="Calibri" w:cs="Calibri"/>
            <w:color w:val="0000FF"/>
          </w:rPr>
          <w:t>постановление</w:t>
        </w:r>
      </w:hyperlink>
      <w:r w:rsidR="00757930">
        <w:rPr>
          <w:rFonts w:ascii="Calibri" w:hAnsi="Calibri" w:cs="Calibri"/>
        </w:rPr>
        <w:t xml:space="preserve"> Правительства Ленинградской области от 17 апреля 2018 года N 137 "О внесении изменения в постановление Правительства Ленинградской области от 30 декабря 2016 года N 544 "Об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области, а также реструктуризации обязательств (задолженности) по бюджетному кредиту";</w:t>
      </w:r>
    </w:p>
    <w:p w:rsidR="00757930" w:rsidRDefault="00145A37">
      <w:pPr>
        <w:spacing w:before="220" w:after="1" w:line="220" w:lineRule="atLeast"/>
        <w:ind w:firstLine="540"/>
        <w:jc w:val="both"/>
      </w:pPr>
      <w:hyperlink r:id="rId9">
        <w:r w:rsidR="00757930">
          <w:rPr>
            <w:rFonts w:ascii="Calibri" w:hAnsi="Calibri" w:cs="Calibri"/>
            <w:color w:val="0000FF"/>
          </w:rPr>
          <w:t>постановление</w:t>
        </w:r>
      </w:hyperlink>
      <w:r w:rsidR="00757930">
        <w:rPr>
          <w:rFonts w:ascii="Calibri" w:hAnsi="Calibri" w:cs="Calibri"/>
        </w:rPr>
        <w:t xml:space="preserve"> Правительства Ленинградской области от 10 декабря 2018 года N 474 "О внесении изменения в постановление Правительства Ленинградской области от 30 декабря 2016 года N 544 "Об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области, а также реструктуризации обязательств (задолженности) по бюджетному кредиту";</w:t>
      </w:r>
    </w:p>
    <w:p w:rsidR="00757930" w:rsidRDefault="00145A37">
      <w:pPr>
        <w:spacing w:before="220" w:after="1" w:line="220" w:lineRule="atLeast"/>
        <w:ind w:firstLine="540"/>
        <w:jc w:val="both"/>
      </w:pPr>
      <w:hyperlink r:id="rId10">
        <w:r w:rsidR="00757930">
          <w:rPr>
            <w:rFonts w:ascii="Calibri" w:hAnsi="Calibri" w:cs="Calibri"/>
            <w:color w:val="0000FF"/>
          </w:rPr>
          <w:t>постановление</w:t>
        </w:r>
      </w:hyperlink>
      <w:r w:rsidR="00757930">
        <w:rPr>
          <w:rFonts w:ascii="Calibri" w:hAnsi="Calibri" w:cs="Calibri"/>
        </w:rPr>
        <w:t xml:space="preserve"> Правительства Ленинградской области от 31 января 2022 года N 55 "О внесении изменений в постановление Правительства Ленинградской области от 30 декабря 2016 года N 544 "Об утверждении Порядка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области, а также реструктуризации обязательств (задолженности) по бюджетному кредиту".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3. Контроль за исполнением постановления возложить на первого вице-губернатора Ленинградской области - заместителя Председателя Правительства Ленинградской области - председателя комитета финансов Ленинградской области.</w:t>
      </w:r>
    </w:p>
    <w:p w:rsidR="00757930" w:rsidRDefault="0075793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3 в ред. </w:t>
      </w:r>
      <w:hyperlink r:id="rId1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Ленинградской области от 13.04.2026 N 311)</w:t>
      </w: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Губернатор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757930" w:rsidRDefault="00757930">
      <w:pPr>
        <w:spacing w:after="1" w:line="220" w:lineRule="atLeast"/>
        <w:jc w:val="right"/>
      </w:pPr>
      <w:proofErr w:type="spellStart"/>
      <w:r>
        <w:rPr>
          <w:rFonts w:ascii="Calibri" w:hAnsi="Calibri" w:cs="Calibri"/>
        </w:rPr>
        <w:t>А.Дрозденко</w:t>
      </w:r>
      <w:proofErr w:type="spellEnd"/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Ленинградской области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от 19.02.2024 N 117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(приложение)</w:t>
      </w: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  <w:jc w:val="center"/>
      </w:pPr>
      <w:bookmarkStart w:id="1" w:name="P41"/>
      <w:bookmarkEnd w:id="1"/>
      <w:r>
        <w:rPr>
          <w:rFonts w:ascii="Calibri" w:hAnsi="Calibri" w:cs="Calibri"/>
          <w:b/>
        </w:rPr>
        <w:t>ПОРЯДОК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ПРЕДОСТАВЛЕНИЯ, ИСПОЛЬЗОВАНИЯ И ВОЗВРАТА МУНИЦИПАЛЬНЫМИ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ОБРАЗОВАНИЯМИ ЛЕНИНГРАДСКОЙ ОБЛАСТИ БЮДЖЕТНЫХ КРЕДИТОВ,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ПОЛУЧЕННЫХ ИЗ ОБЛАСТНОГО БЮДЖЕТА ЛЕНИНГРАДСКОЙ ОБЛАСТИ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НА ПОКРЫТИЕ ВРЕМЕННЫХ КАССОВЫХ РАЗРЫВОВ, ВОЗНИКАЮЩИХ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ПРИ ИСПОЛНЕНИИ БЮДЖЕТОВ МУНИЦИПАЛЬНЫХ ОБРАЗОВАНИЙ</w:t>
      </w:r>
    </w:p>
    <w:p w:rsidR="00757930" w:rsidRDefault="00757930">
      <w:pPr>
        <w:spacing w:after="1" w:line="220" w:lineRule="atLeast"/>
        <w:jc w:val="center"/>
      </w:pPr>
      <w:r>
        <w:rPr>
          <w:rFonts w:ascii="Calibri" w:hAnsi="Calibri" w:cs="Calibri"/>
          <w:b/>
        </w:rPr>
        <w:t>ЛЕНИНГРАДСКОЙ ОБЛАСТИ</w:t>
      </w:r>
    </w:p>
    <w:p w:rsidR="00757930" w:rsidRDefault="00757930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793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(в ред. Постановлений Правительства Ленинградской области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от 16.09.2024 </w:t>
            </w:r>
            <w:hyperlink r:id="rId12">
              <w:r>
                <w:rPr>
                  <w:rFonts w:ascii="Calibri" w:hAnsi="Calibri" w:cs="Calibri"/>
                  <w:color w:val="0000FF"/>
                </w:rPr>
                <w:t>N 645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13.04.2026 </w:t>
            </w:r>
            <w:hyperlink r:id="rId13">
              <w:r>
                <w:rPr>
                  <w:rFonts w:ascii="Calibri" w:hAnsi="Calibri" w:cs="Calibri"/>
                  <w:color w:val="0000FF"/>
                </w:rPr>
                <w:t>N 311</w:t>
              </w:r>
            </w:hyperlink>
            <w:r>
              <w:rPr>
                <w:rFonts w:ascii="Calibri" w:hAnsi="Calibri" w:cs="Calibri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7930" w:rsidRDefault="00757930"/>
        </w:tc>
      </w:tr>
    </w:tbl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 Настоящий Порядок определяет условия предоставления, использования и возврата муниципальными образованиями Ленинградской области бюджетных кредитов, полученных из областного бюджета Ленинградской области на покрытие временных кассовых разрывов, возникающих при исполнении бюджетов муниципальных образований Ленинградской области (далее - областной бюджет, бюджетные кредиты, муниципальные образования).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Бюджетный кредит предоставляется бюджету муниципального района (муниципального округа, городского округа) Ленинградской области (далее - местный бюджет) на срок до шести месяцев в пределах текущего финансового года.</w:t>
      </w:r>
    </w:p>
    <w:p w:rsidR="00757930" w:rsidRDefault="0075793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4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Ленинградской области от 16.09.2024 N 645)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 Решение о предоставлении бюджетного кредита местному бюджету принимается Комитетом финансов Ленинградской области (далее - Комитет финансов).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Комитет финансов обеспечивает реализацию настоящего Порядка, принимает соответствующие правовые акты, взаимодействует с уполномоченными органами местного самоуправления муниципальных образований при предоставлении бюджетных кредитов.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 За пользование бюджетным кредитом взимается плата, установленная областным законом об областном бюджете Ленинградской области на текущий финансовый год и на плановый период.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 Условиями предоставления местному бюджету бюджетного кредита являются: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а) наличие превышения прогнозируемого объема расходов местного бюджета в месяце, в котором предполагается получение бюджетного кредита, над прогнозируемым объемом доходов местного бюджета с учетом источников финансирования дефицита местного бюджета в данном месяце, а также остатков средств местного бюджета без учета целевых средств на начало данного месяца;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отсутствие у местного бюджета просроченной задолженности по бюджетным кредитам, ранее предоставленным из областного бюджета;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соблюдение требований бюджетного законодательства Российской Федерации в части объема муниципального долга, дефицита местного бюджета, программы муниципальных внутренних заимствований на текущий финансовый год и на плановый период;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наличие обоснованных источников погашения бюджетного кредита.</w:t>
      </w:r>
    </w:p>
    <w:p w:rsidR="00757930" w:rsidRDefault="00757930">
      <w:pPr>
        <w:spacing w:before="220" w:after="1" w:line="220" w:lineRule="atLeast"/>
        <w:ind w:firstLine="540"/>
        <w:jc w:val="both"/>
      </w:pPr>
      <w:bookmarkStart w:id="2" w:name="P63"/>
      <w:bookmarkEnd w:id="2"/>
      <w:r>
        <w:rPr>
          <w:rFonts w:ascii="Calibri" w:hAnsi="Calibri" w:cs="Calibri"/>
        </w:rPr>
        <w:t>6. Уполномоченный в соответствии с муниципальным правовым актом орган местного самоуправления муниципального района (муниципального округа, городского округа) Ленинградской области (далее - уполномоченный орган) вправе направить в Комитет финансов обращение о предоставлении бюджетного кредита с обоснованием необходимости его предоставления и предлагаемыми сроками (графиком) погашения.</w:t>
      </w:r>
    </w:p>
    <w:p w:rsidR="00757930" w:rsidRDefault="00757930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</w:t>
      </w:r>
      <w:hyperlink r:id="rId15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Ленинградской области от 16.09.2024 N 645)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 обращению о предоставлении бюджетного кредита должны быть приложены следующие документы: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документы, определяющие статус уполномоченного органа и подтверждающие его полномочия на осуществление муниципальных заимствований (выписка из устава муниципального образования и копия Положения об уполномоченном органе);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информация о полных реквизитах муниципального образования в органах Федерального казначейства (с указанием полного наименования и местоположения), фамилия, имя, отчество и полное наименование должности руководителя и главного бухгалтера, уполномоченных подписывать договор, а также документы о назначении их на должность;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копия решения представительного органа муниципального образования о бюджете на текущий финансовый год и на плановый период со всеми приложениями и принятыми изменениями на дату обращения за бюджетным кредитом;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кассовый план исполнения местного бюджета на текущий финансовый год, исполнение кассового плана на первое число месяца обращения за бюджетным кредитом;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отчет об исполнении местного бюджета на последнюю отчетную дату и справочная таблица к нему;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е) </w:t>
      </w:r>
      <w:hyperlink w:anchor="P101">
        <w:r>
          <w:rPr>
            <w:rFonts w:ascii="Calibri" w:hAnsi="Calibri" w:cs="Calibri"/>
            <w:color w:val="0000FF"/>
          </w:rPr>
          <w:t>расчет</w:t>
        </w:r>
      </w:hyperlink>
      <w:r>
        <w:rPr>
          <w:rFonts w:ascii="Calibri" w:hAnsi="Calibri" w:cs="Calibri"/>
        </w:rPr>
        <w:t xml:space="preserve"> потребности в бюджетном кредите и возможности его возврата по форме согласно приложению 1 к настоящему Порядку;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выписка из муниципальной долговой книги на дату обращения за бюджетным кредитом;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выписка из Единого государственного реестра налогоплательщиков (Единого государственного реестра юридических лиц) на дату обращения за бюджетным кредитом.</w:t>
      </w:r>
    </w:p>
    <w:p w:rsidR="00757930" w:rsidRDefault="00757930">
      <w:pPr>
        <w:spacing w:after="1" w:line="220" w:lineRule="atLeast"/>
        <w:jc w:val="both"/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"з" в ред. </w:t>
      </w:r>
      <w:hyperlink r:id="rId16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Ленинградской области от 13.04.2026 N 311)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 Решение о предоставлении бюджетного кредита принимается в течение 15 рабочих дней со дня поступления обращения путем принятия правового акта Комитета финансов, в котором </w:t>
      </w:r>
      <w:r>
        <w:rPr>
          <w:rFonts w:ascii="Calibri" w:hAnsi="Calibri" w:cs="Calibri"/>
        </w:rPr>
        <w:lastRenderedPageBreak/>
        <w:t>указываются объем обязательств по бюджетному кредиту, срок (график) исполнения обязательств по возврату бюджетного кредита, размер платы за пользование бюджетным кредитом.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Размер бюджетного кредита определяется исходя из бюджетных ассигнований, предусмотренных областным законом об областном бюджете, и величины временного кассового разрыва, возникающего при исполнении местного бюджета.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Бюджетный кредит предоставляется местному бюджету на основании договора, заключенного между Комитетом финансов, выступающим от имени Ленинградской области, и уполномоченным органом, выступающим от имени муниципального образования, по форме, установленной Комитетом финансов.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Решение об отказе в предоставлении бюджетного кредита направляется уполномоченному органу в течение 15 рабочих дней со дня поступления обращения в следующих случаях: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представление документов, несоответствующих перечню, установленному </w:t>
      </w:r>
      <w:hyperlink w:anchor="P63">
        <w:r>
          <w:rPr>
            <w:rFonts w:ascii="Calibri" w:hAnsi="Calibri" w:cs="Calibri"/>
            <w:color w:val="0000FF"/>
          </w:rPr>
          <w:t>пунктом 6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несоблюдение требований бюджетного законодательства Российской Федерации в части объема муниципального долга, дефицита местного бюджета, программы муниципальных внутренних заимствований по данным решения о местном бюджете на текущий финансовый год и на плановый период и отчетов об исполнении местного бюджета в текущем финансовом году;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отсутствие или недостаточность остатка бюджетных ассигнований для предоставления местным бюджетам бюджетных кредитов, предусмотренных областным законом об областном бюджете на текущий финансовый год;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наличие в местном бюджете просроченной задолженности по бюджетным кредитам, ранее предоставленным из областного бюджета;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отсутствие прогнозируемого временного кассового разрыва, возникающего при исполнении местного бюджета;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отсутствие в местном бюджете обоснованных источников погашения бюджетного кредита.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10. Возврат бюджетного кредита и уплата процентов за пользование бюджетным кредитом осуществляется уполномоченным органом в порядке и в сроки, установленные договором о предоставлении бюджетного кредита.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11. Комитет финансов в соответствии с законодательством Российской Федерации осуществляет учет полноты и своевременности возврата бюджетных кредитов в областной бюджет.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12. Муниципальное образование обязано представлять информацию и документы, запрашиваемые Комитетом финансов в целях реализации своих полномочий и функций в соответствии с заключенным договором о предоставлении бюджетного кредита.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13. При несоблюдении сроков возврата бюджетного кредита, включая уплату процентов за пользование им, муниципальное образование несет ответственность в соответствии с законодательством Российской Федерации.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При невыполнении муниципальным образованием обязательств по возврату бюджетного кредита, уплате процентов и(или) пеней, предусмотренных договором о предоставлении бюджетного кредита, Комитет финансов принимает меры по взысканию с муниципального образования просроченной задолженности в установленном порядке.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14. Комитет финансов обеспечивает учет и ведение </w:t>
      </w:r>
      <w:hyperlink w:anchor="P254">
        <w:r>
          <w:rPr>
            <w:rFonts w:ascii="Calibri" w:hAnsi="Calibri" w:cs="Calibri"/>
            <w:color w:val="0000FF"/>
          </w:rPr>
          <w:t>реестра</w:t>
        </w:r>
      </w:hyperlink>
      <w:r>
        <w:rPr>
          <w:rFonts w:ascii="Calibri" w:hAnsi="Calibri" w:cs="Calibri"/>
        </w:rPr>
        <w:t xml:space="preserve"> бюджетных кредитов, предоставленных местным бюджетам из областного бюджета, по форме согласно приложению 2 к настоящему Порядку.</w:t>
      </w: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1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к Порядку...</w:t>
      </w: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</w:pPr>
      <w:r>
        <w:rPr>
          <w:rFonts w:ascii="Calibri" w:hAnsi="Calibri" w:cs="Calibri"/>
        </w:rPr>
        <w:t>(Форма)</w:t>
      </w:r>
    </w:p>
    <w:p w:rsidR="00757930" w:rsidRDefault="00757930">
      <w:pPr>
        <w:spacing w:after="1" w:line="220" w:lineRule="atLeast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17"/>
        <w:gridCol w:w="1417"/>
        <w:gridCol w:w="1417"/>
        <w:gridCol w:w="1417"/>
        <w:gridCol w:w="1419"/>
      </w:tblGrid>
      <w:tr w:rsidR="0075793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7930" w:rsidRDefault="00757930">
            <w:pPr>
              <w:spacing w:after="1" w:line="220" w:lineRule="atLeast"/>
              <w:jc w:val="center"/>
            </w:pPr>
            <w:bookmarkStart w:id="3" w:name="P101"/>
            <w:bookmarkEnd w:id="3"/>
            <w:r>
              <w:rPr>
                <w:rFonts w:ascii="Calibri" w:hAnsi="Calibri" w:cs="Calibri"/>
              </w:rPr>
              <w:t>РАСЧЕТ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потребности муниципального образования в бюджетном кредите на покрытие временного кассового разрыва, возникающего при исполнении местного бюджета, и возможности его возврата</w:t>
            </w:r>
          </w:p>
        </w:tc>
      </w:tr>
      <w:tr w:rsidR="00757930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c>
          <w:tcPr>
            <w:tcW w:w="9071" w:type="dxa"/>
            <w:gridSpan w:val="6"/>
            <w:tcBorders>
              <w:top w:val="nil"/>
              <w:left w:val="nil"/>
              <w:right w:val="nil"/>
            </w:tcBorders>
          </w:tcPr>
          <w:p w:rsidR="00757930" w:rsidRDefault="00757930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(тысяч рублей)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 w:val="restart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Бюджет на текущий финансовый год с учетом изменений</w:t>
            </w:r>
          </w:p>
        </w:tc>
        <w:tc>
          <w:tcPr>
            <w:tcW w:w="1417" w:type="dxa"/>
            <w:vMerge w:val="restart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Исполнение на отчетную дату</w:t>
            </w:r>
          </w:p>
        </w:tc>
        <w:tc>
          <w:tcPr>
            <w:tcW w:w="4253" w:type="dxa"/>
            <w:gridSpan w:val="3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Ожидаемое исполнение бюджета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</w:tcPr>
          <w:p w:rsidR="00757930" w:rsidRDefault="00757930"/>
        </w:tc>
        <w:tc>
          <w:tcPr>
            <w:tcW w:w="1417" w:type="dxa"/>
            <w:vMerge/>
          </w:tcPr>
          <w:p w:rsidR="00757930" w:rsidRDefault="00757930"/>
        </w:tc>
        <w:tc>
          <w:tcPr>
            <w:tcW w:w="1417" w:type="dxa"/>
            <w:vMerge/>
          </w:tcPr>
          <w:p w:rsidR="00757930" w:rsidRDefault="00757930"/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первое число месяца, следующего за месяцем, в котором предполагается получение бюджетного кредита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 первое число месяца, следующего за месяцем, в котором предполагается возврат бюджетного кредита</w:t>
            </w: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 текущий финансовый год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доходов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том числе:</w:t>
            </w:r>
          </w:p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налоговые доходы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неналоговые доходы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безвозмездные поступления от других бюджетов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них:</w:t>
            </w:r>
          </w:p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дотации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субвенции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субсидии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lastRenderedPageBreak/>
              <w:t>иные межбюджетные трансферты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расходов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 них: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&lt;*&gt;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Дефицит (профицит) бюджета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Источники финансирования дефицита (профицита) бюджета - всего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 том числе:</w:t>
            </w:r>
          </w:p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изменение остатков средств местного бюджета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муниципальные ценные бумаги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кредиты от других бюджетов бюджетной системы Российской Федерации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  <w:ind w:left="283"/>
            </w:pPr>
            <w:r>
              <w:rPr>
                <w:rFonts w:ascii="Calibri" w:hAnsi="Calibri" w:cs="Calibri"/>
              </w:rPr>
              <w:t>из них бюджетный кредит из областного бюджета на кассовый разрыв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кредиты кредитных организаций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прочие источники внутреннего финансирования дефицита бюджета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</w:tcPr>
          <w:p w:rsidR="00757930" w:rsidRDefault="00757930">
            <w:pPr>
              <w:spacing w:after="1" w:line="220" w:lineRule="atLeast"/>
            </w:pPr>
            <w:proofErr w:type="spellStart"/>
            <w:r>
              <w:rPr>
                <w:rFonts w:ascii="Calibri" w:hAnsi="Calibri" w:cs="Calibri"/>
              </w:rPr>
              <w:t>Справочно</w:t>
            </w:r>
            <w:proofErr w:type="spellEnd"/>
            <w:r>
              <w:rPr>
                <w:rFonts w:ascii="Calibri" w:hAnsi="Calibri" w:cs="Calibri"/>
              </w:rPr>
              <w:t xml:space="preserve">. Остатки средств местного </w:t>
            </w:r>
            <w:r>
              <w:rPr>
                <w:rFonts w:ascii="Calibri" w:hAnsi="Calibri" w:cs="Calibri"/>
              </w:rPr>
              <w:lastRenderedPageBreak/>
              <w:t>бюджета на отчетную дату</w:t>
            </w: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9" w:type="dxa"/>
          </w:tcPr>
          <w:p w:rsidR="00757930" w:rsidRDefault="00757930">
            <w:pPr>
              <w:spacing w:after="1" w:line="220" w:lineRule="atLeast"/>
            </w:pPr>
          </w:p>
        </w:tc>
      </w:tr>
    </w:tbl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--------------------------------</w:t>
      </w:r>
    </w:p>
    <w:p w:rsidR="00757930" w:rsidRDefault="0075793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&lt;*&gt; Расходы муниципального образования по разделам и видам расходов с указанием наименования (расшифровать).</w:t>
      </w: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2</w:t>
      </w:r>
    </w:p>
    <w:p w:rsidR="00757930" w:rsidRDefault="00757930">
      <w:pPr>
        <w:spacing w:after="1" w:line="220" w:lineRule="atLeast"/>
        <w:jc w:val="right"/>
      </w:pPr>
      <w:r>
        <w:rPr>
          <w:rFonts w:ascii="Calibri" w:hAnsi="Calibri" w:cs="Calibri"/>
        </w:rPr>
        <w:t>к Порядку...</w:t>
      </w:r>
    </w:p>
    <w:p w:rsidR="00757930" w:rsidRDefault="00757930">
      <w:pPr>
        <w:spacing w:after="1" w:line="220" w:lineRule="atLeast"/>
        <w:jc w:val="right"/>
      </w:pPr>
    </w:p>
    <w:p w:rsidR="00757930" w:rsidRDefault="00757930">
      <w:pPr>
        <w:spacing w:after="1" w:line="220" w:lineRule="atLeast"/>
      </w:pPr>
      <w:r>
        <w:rPr>
          <w:rFonts w:ascii="Calibri" w:hAnsi="Calibri" w:cs="Calibri"/>
        </w:rPr>
        <w:t>(Форма)</w:t>
      </w:r>
    </w:p>
    <w:p w:rsidR="00757930" w:rsidRDefault="00757930">
      <w:pPr>
        <w:spacing w:after="1" w:line="220" w:lineRule="atLeast"/>
      </w:pPr>
    </w:p>
    <w:p w:rsidR="00757930" w:rsidRDefault="00757930">
      <w:pPr>
        <w:sectPr w:rsidR="00757930" w:rsidSect="00E178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91"/>
        <w:gridCol w:w="1531"/>
        <w:gridCol w:w="1474"/>
        <w:gridCol w:w="1191"/>
        <w:gridCol w:w="1020"/>
        <w:gridCol w:w="907"/>
        <w:gridCol w:w="1414"/>
        <w:gridCol w:w="1414"/>
        <w:gridCol w:w="1304"/>
        <w:gridCol w:w="1701"/>
      </w:tblGrid>
      <w:tr w:rsidR="00757930">
        <w:tc>
          <w:tcPr>
            <w:tcW w:w="136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7930" w:rsidRDefault="00757930">
            <w:pPr>
              <w:spacing w:after="1" w:line="220" w:lineRule="atLeast"/>
              <w:jc w:val="center"/>
            </w:pPr>
            <w:bookmarkStart w:id="4" w:name="P254"/>
            <w:bookmarkEnd w:id="4"/>
            <w:r>
              <w:rPr>
                <w:rFonts w:ascii="Calibri" w:hAnsi="Calibri" w:cs="Calibri"/>
              </w:rPr>
              <w:lastRenderedPageBreak/>
              <w:t>РЕЕСТР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бюджетных кредитов, предоставленных местным бюджетам из областного бюджета Ленинградской области</w:t>
            </w:r>
          </w:p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 состоянию на ____________________ года</w:t>
            </w:r>
          </w:p>
        </w:tc>
      </w:tr>
      <w:tr w:rsidR="00757930">
        <w:tc>
          <w:tcPr>
            <w:tcW w:w="136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c>
          <w:tcPr>
            <w:tcW w:w="13601" w:type="dxa"/>
            <w:gridSpan w:val="11"/>
            <w:tcBorders>
              <w:top w:val="nil"/>
              <w:left w:val="nil"/>
              <w:right w:val="nil"/>
            </w:tcBorders>
          </w:tcPr>
          <w:p w:rsidR="00757930" w:rsidRDefault="00757930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(рублей)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 муниципального образования</w:t>
            </w:r>
          </w:p>
        </w:tc>
        <w:tc>
          <w:tcPr>
            <w:tcW w:w="1531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договора о предоставлении бюджетного кредита (соглашения)</w:t>
            </w:r>
          </w:p>
        </w:tc>
        <w:tc>
          <w:tcPr>
            <w:tcW w:w="147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договора о предоставлении бюджетного кредита (соглашения)</w:t>
            </w: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Цель предоставления бюджетного кредита</w:t>
            </w:r>
          </w:p>
        </w:tc>
        <w:tc>
          <w:tcPr>
            <w:tcW w:w="1020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Сумма бюджетного кредита</w:t>
            </w:r>
          </w:p>
        </w:tc>
        <w:tc>
          <w:tcPr>
            <w:tcW w:w="907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Сумма погашения</w:t>
            </w: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Начислено процентов за пользование бюджетным кредитом</w:t>
            </w: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Уплачено процентов за пользование бюджетным кредитом</w:t>
            </w:r>
          </w:p>
        </w:tc>
        <w:tc>
          <w:tcPr>
            <w:tcW w:w="1304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Остаток задолженности по основному долгу на текущую дату</w:t>
            </w:r>
          </w:p>
        </w:tc>
        <w:tc>
          <w:tcPr>
            <w:tcW w:w="1701" w:type="dxa"/>
          </w:tcPr>
          <w:p w:rsidR="00757930" w:rsidRDefault="0075793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Остаток задолженности по начисленным процентам за пользование бюджетным кредитом на текущую дату</w:t>
            </w: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53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7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020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90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30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701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53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7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020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90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30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701" w:type="dxa"/>
          </w:tcPr>
          <w:p w:rsidR="00757930" w:rsidRDefault="00757930">
            <w:pPr>
              <w:spacing w:after="1" w:line="220" w:lineRule="atLeast"/>
            </w:pPr>
          </w:p>
        </w:tc>
      </w:tr>
      <w:tr w:rsidR="0075793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5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53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7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191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020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907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41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304" w:type="dxa"/>
          </w:tcPr>
          <w:p w:rsidR="00757930" w:rsidRDefault="00757930">
            <w:pPr>
              <w:spacing w:after="1" w:line="220" w:lineRule="atLeast"/>
            </w:pPr>
          </w:p>
        </w:tc>
        <w:tc>
          <w:tcPr>
            <w:tcW w:w="1701" w:type="dxa"/>
          </w:tcPr>
          <w:p w:rsidR="00757930" w:rsidRDefault="00757930">
            <w:pPr>
              <w:spacing w:after="1" w:line="220" w:lineRule="atLeast"/>
            </w:pPr>
          </w:p>
        </w:tc>
      </w:tr>
    </w:tbl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spacing w:after="1" w:line="220" w:lineRule="atLeast"/>
        <w:ind w:firstLine="540"/>
        <w:jc w:val="both"/>
      </w:pPr>
    </w:p>
    <w:p w:rsidR="00757930" w:rsidRDefault="00757930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79D9" w:rsidRDefault="00F279D9"/>
    <w:sectPr w:rsidR="00F279D9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7F"/>
    <w:rsid w:val="0012497F"/>
    <w:rsid w:val="00145A37"/>
    <w:rsid w:val="00757930"/>
    <w:rsid w:val="00F2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E4F4F-895C-43A3-AFB7-DAE894C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98691" TargetMode="External"/><Relationship Id="rId13" Type="http://schemas.openxmlformats.org/officeDocument/2006/relationships/hyperlink" Target="https://login.consultant.ru/link/?req=doc&amp;base=SPB&amp;n=328389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52323" TargetMode="External"/><Relationship Id="rId12" Type="http://schemas.openxmlformats.org/officeDocument/2006/relationships/hyperlink" Target="https://login.consultant.ru/link/?req=doc&amp;base=SPB&amp;n=298143&amp;dst=100005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8389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710&amp;dst=7303" TargetMode="External"/><Relationship Id="rId11" Type="http://schemas.openxmlformats.org/officeDocument/2006/relationships/hyperlink" Target="https://login.consultant.ru/link/?req=doc&amp;base=SPB&amp;n=328389&amp;dst=100006" TargetMode="External"/><Relationship Id="rId5" Type="http://schemas.openxmlformats.org/officeDocument/2006/relationships/hyperlink" Target="https://login.consultant.ru/link/?req=doc&amp;base=SPB&amp;n=328389&amp;dst=100005" TargetMode="External"/><Relationship Id="rId15" Type="http://schemas.openxmlformats.org/officeDocument/2006/relationships/hyperlink" Target="https://login.consultant.ru/link/?req=doc&amp;base=SPB&amp;n=298143&amp;dst=100005" TargetMode="External"/><Relationship Id="rId10" Type="http://schemas.openxmlformats.org/officeDocument/2006/relationships/hyperlink" Target="https://login.consultant.ru/link/?req=doc&amp;base=SPB&amp;n=252220" TargetMode="External"/><Relationship Id="rId4" Type="http://schemas.openxmlformats.org/officeDocument/2006/relationships/hyperlink" Target="https://login.consultant.ru/link/?req=doc&amp;base=SPB&amp;n=298143&amp;dst=100005" TargetMode="External"/><Relationship Id="rId9" Type="http://schemas.openxmlformats.org/officeDocument/2006/relationships/hyperlink" Target="https://login.consultant.ru/link/?req=doc&amp;base=SPB&amp;n=207033" TargetMode="External"/><Relationship Id="rId14" Type="http://schemas.openxmlformats.org/officeDocument/2006/relationships/hyperlink" Target="https://login.consultant.ru/link/?req=doc&amp;base=SPB&amp;n=29814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2166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Сливарь Александра Юрьевна</dc:creator>
  <cp:keywords/>
  <dc:description/>
  <cp:lastModifiedBy>Костливцева Наталья Максимовна</cp:lastModifiedBy>
  <cp:revision>2</cp:revision>
  <dcterms:created xsi:type="dcterms:W3CDTF">2026-06-10T06:51:00Z</dcterms:created>
  <dcterms:modified xsi:type="dcterms:W3CDTF">2026-06-10T06:51:00Z</dcterms:modified>
</cp:coreProperties>
</file>