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none" w:sz="6" w:space="0" w:color="000000"/>
          <w:left w:val="none" w:sz="6" w:space="0" w:color="000000"/>
          <w:bottom w:val="none" w:sz="6" w:space="0" w:color="000000"/>
          <w:right w:val="none" w:sz="6" w:space="0" w:color="000000"/>
          <w:insideH w:val="none" w:sz="6" w:space="0" w:color="000000"/>
          <w:insideV w:val="non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6"/>
      </w:tblGrid>
      <w:tr w:rsidR="00286663">
        <w:tc>
          <w:tcPr>
            <w:tcW w:w="10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663" w:rsidRDefault="00DD7095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Утв. приказом Минфина РФ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от 28 декабря 2010 г. № 191н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(в ред. от 16 ноября 2016 г.)</w:t>
            </w:r>
          </w:p>
        </w:tc>
      </w:tr>
    </w:tbl>
    <w:p w:rsidR="00286663" w:rsidRDefault="00DD709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vanish/>
          <w:sz w:val="24"/>
          <w:szCs w:val="24"/>
        </w:rPr>
        <w:t> </w:t>
      </w:r>
    </w:p>
    <w:tbl>
      <w:tblPr>
        <w:tblW w:w="10363" w:type="dxa"/>
        <w:tblInd w:w="93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43"/>
        <w:gridCol w:w="271"/>
        <w:gridCol w:w="2217"/>
        <w:gridCol w:w="1832"/>
      </w:tblGrid>
      <w:tr w:rsidR="00286663" w:rsidTr="00DD7095">
        <w:trPr>
          <w:trHeight w:val="270"/>
        </w:trPr>
        <w:tc>
          <w:tcPr>
            <w:tcW w:w="604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663" w:rsidRDefault="00DD709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ПОЯСНИТЕЛЬНАЯ ЗАПИСКА</w:t>
            </w:r>
          </w:p>
        </w:tc>
        <w:tc>
          <w:tcPr>
            <w:tcW w:w="27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663" w:rsidRDefault="00286663">
            <w:pPr>
              <w:rPr>
                <w:sz w:val="24"/>
              </w:rPr>
            </w:pPr>
          </w:p>
        </w:tc>
        <w:tc>
          <w:tcPr>
            <w:tcW w:w="22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663" w:rsidRDefault="00286663">
            <w:pPr>
              <w:rPr>
                <w:sz w:val="24"/>
              </w:rPr>
            </w:pPr>
          </w:p>
        </w:tc>
        <w:tc>
          <w:tcPr>
            <w:tcW w:w="183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663" w:rsidRDefault="00286663">
            <w:pPr>
              <w:rPr>
                <w:sz w:val="24"/>
              </w:rPr>
            </w:pPr>
          </w:p>
        </w:tc>
      </w:tr>
      <w:tr w:rsidR="00286663" w:rsidTr="00DD7095">
        <w:trPr>
          <w:trHeight w:val="255"/>
        </w:trPr>
        <w:tc>
          <w:tcPr>
            <w:tcW w:w="604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663" w:rsidRDefault="00286663">
            <w:pPr>
              <w:rPr>
                <w:sz w:val="24"/>
              </w:rPr>
            </w:pPr>
          </w:p>
        </w:tc>
        <w:tc>
          <w:tcPr>
            <w:tcW w:w="27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663" w:rsidRDefault="00286663">
            <w:pPr>
              <w:rPr>
                <w:sz w:val="24"/>
              </w:rPr>
            </w:pPr>
          </w:p>
        </w:tc>
        <w:tc>
          <w:tcPr>
            <w:tcW w:w="22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663" w:rsidRDefault="00286663">
            <w:pPr>
              <w:rPr>
                <w:sz w:val="24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663" w:rsidRDefault="00DD709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КОДЫ</w:t>
            </w:r>
          </w:p>
        </w:tc>
      </w:tr>
      <w:tr w:rsidR="00286663" w:rsidTr="00DD7095">
        <w:trPr>
          <w:trHeight w:val="282"/>
        </w:trPr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663" w:rsidRDefault="00286663">
            <w:pPr>
              <w:rPr>
                <w:sz w:val="24"/>
              </w:rPr>
            </w:pPr>
          </w:p>
        </w:tc>
        <w:tc>
          <w:tcPr>
            <w:tcW w:w="2488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663" w:rsidRDefault="00DD7095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Форма по ОКУД</w:t>
            </w:r>
          </w:p>
        </w:tc>
        <w:tc>
          <w:tcPr>
            <w:tcW w:w="18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663" w:rsidRDefault="00DD709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0503160</w:t>
            </w:r>
          </w:p>
        </w:tc>
      </w:tr>
      <w:tr w:rsidR="00286663" w:rsidTr="00DD7095">
        <w:trPr>
          <w:trHeight w:val="282"/>
        </w:trPr>
        <w:tc>
          <w:tcPr>
            <w:tcW w:w="0" w:type="auto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663" w:rsidRDefault="00DD709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                         на   1 января 2026 г.</w:t>
            </w:r>
          </w:p>
        </w:tc>
        <w:tc>
          <w:tcPr>
            <w:tcW w:w="22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663" w:rsidRDefault="00DD7095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Дата</w:t>
            </w:r>
          </w:p>
        </w:tc>
        <w:tc>
          <w:tcPr>
            <w:tcW w:w="18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663" w:rsidRDefault="00DD709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01.01.2026</w:t>
            </w:r>
          </w:p>
        </w:tc>
      </w:tr>
      <w:tr w:rsidR="00286663" w:rsidTr="00DD7095">
        <w:trPr>
          <w:trHeight w:val="300"/>
        </w:trPr>
        <w:tc>
          <w:tcPr>
            <w:tcW w:w="604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663" w:rsidRDefault="00DD709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663" w:rsidRDefault="00DD709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663" w:rsidRDefault="00DD7095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Код субъекта </w:t>
            </w:r>
          </w:p>
          <w:p w:rsidR="00286663" w:rsidRDefault="00DD7095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бюджетной отчетности</w:t>
            </w:r>
          </w:p>
        </w:tc>
        <w:tc>
          <w:tcPr>
            <w:tcW w:w="18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663" w:rsidRDefault="00286663">
            <w:pPr>
              <w:rPr>
                <w:sz w:val="24"/>
              </w:rPr>
            </w:pPr>
          </w:p>
        </w:tc>
      </w:tr>
      <w:tr w:rsidR="00286663" w:rsidTr="00DD7095">
        <w:trPr>
          <w:trHeight w:val="300"/>
        </w:trPr>
        <w:tc>
          <w:tcPr>
            <w:tcW w:w="604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663" w:rsidRDefault="00DD709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 распорядитель, распорядитель,</w:t>
            </w:r>
          </w:p>
        </w:tc>
        <w:tc>
          <w:tcPr>
            <w:tcW w:w="27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663" w:rsidRDefault="00286663">
            <w:pPr>
              <w:rPr>
                <w:sz w:val="24"/>
              </w:rPr>
            </w:pPr>
          </w:p>
        </w:tc>
        <w:tc>
          <w:tcPr>
            <w:tcW w:w="22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663" w:rsidRDefault="00286663">
            <w:pPr>
              <w:rPr>
                <w:sz w:val="24"/>
              </w:rPr>
            </w:pPr>
          </w:p>
        </w:tc>
        <w:tc>
          <w:tcPr>
            <w:tcW w:w="183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663" w:rsidRDefault="00286663">
            <w:pPr>
              <w:rPr>
                <w:sz w:val="24"/>
              </w:rPr>
            </w:pPr>
          </w:p>
        </w:tc>
      </w:tr>
      <w:tr w:rsidR="00286663" w:rsidTr="00DD7095">
        <w:trPr>
          <w:trHeight w:val="195"/>
        </w:trPr>
        <w:tc>
          <w:tcPr>
            <w:tcW w:w="604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663" w:rsidRDefault="00DD7095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получатель бюджетных средств, главный администратор,   </w:t>
            </w:r>
          </w:p>
        </w:tc>
        <w:tc>
          <w:tcPr>
            <w:tcW w:w="27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663" w:rsidRDefault="00286663">
            <w:pPr>
              <w:rPr>
                <w:sz w:val="20"/>
              </w:rPr>
            </w:pPr>
          </w:p>
        </w:tc>
        <w:tc>
          <w:tcPr>
            <w:tcW w:w="22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663" w:rsidRDefault="00286663">
            <w:pPr>
              <w:rPr>
                <w:sz w:val="20"/>
              </w:rPr>
            </w:pPr>
          </w:p>
        </w:tc>
        <w:tc>
          <w:tcPr>
            <w:tcW w:w="183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663" w:rsidRDefault="00286663">
            <w:pPr>
              <w:rPr>
                <w:sz w:val="20"/>
              </w:rPr>
            </w:pPr>
          </w:p>
        </w:tc>
      </w:tr>
      <w:tr w:rsidR="00286663" w:rsidTr="00DD7095">
        <w:trPr>
          <w:trHeight w:val="195"/>
        </w:trPr>
        <w:tc>
          <w:tcPr>
            <w:tcW w:w="604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663" w:rsidRDefault="00DD7095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администратор доходов бюджета,</w:t>
            </w:r>
          </w:p>
        </w:tc>
        <w:tc>
          <w:tcPr>
            <w:tcW w:w="27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663" w:rsidRDefault="00286663">
            <w:pPr>
              <w:rPr>
                <w:sz w:val="20"/>
              </w:rPr>
            </w:pPr>
          </w:p>
        </w:tc>
        <w:tc>
          <w:tcPr>
            <w:tcW w:w="22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663" w:rsidRDefault="00DD7095">
            <w:pPr>
              <w:spacing w:line="195" w:lineRule="atLeast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 ОКПО</w:t>
            </w:r>
          </w:p>
        </w:tc>
        <w:tc>
          <w:tcPr>
            <w:tcW w:w="183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663" w:rsidRDefault="00DD7095">
            <w:pPr>
              <w:spacing w:line="195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02288703</w:t>
            </w:r>
          </w:p>
        </w:tc>
      </w:tr>
      <w:tr w:rsidR="00286663" w:rsidTr="00DD7095">
        <w:trPr>
          <w:trHeight w:val="195"/>
        </w:trPr>
        <w:tc>
          <w:tcPr>
            <w:tcW w:w="604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663" w:rsidRDefault="00DD7095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главный администратор, администратор </w:t>
            </w:r>
          </w:p>
        </w:tc>
        <w:tc>
          <w:tcPr>
            <w:tcW w:w="27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663" w:rsidRDefault="00286663">
            <w:pPr>
              <w:rPr>
                <w:sz w:val="20"/>
              </w:rPr>
            </w:pPr>
          </w:p>
        </w:tc>
        <w:tc>
          <w:tcPr>
            <w:tcW w:w="22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663" w:rsidRDefault="00286663">
            <w:pPr>
              <w:rPr>
                <w:sz w:val="20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663" w:rsidRDefault="00286663">
            <w:pPr>
              <w:rPr>
                <w:sz w:val="20"/>
              </w:rPr>
            </w:pPr>
          </w:p>
        </w:tc>
      </w:tr>
      <w:tr w:rsidR="00286663" w:rsidTr="00DD7095">
        <w:trPr>
          <w:trHeight w:val="195"/>
        </w:trPr>
        <w:tc>
          <w:tcPr>
            <w:tcW w:w="604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663" w:rsidRDefault="00DD7095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администратор источников финансирования</w:t>
            </w:r>
          </w:p>
        </w:tc>
        <w:tc>
          <w:tcPr>
            <w:tcW w:w="27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663" w:rsidRDefault="00286663">
            <w:pPr>
              <w:rPr>
                <w:sz w:val="20"/>
              </w:rPr>
            </w:pPr>
          </w:p>
        </w:tc>
        <w:tc>
          <w:tcPr>
            <w:tcW w:w="22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663" w:rsidRDefault="00286663">
            <w:pPr>
              <w:rPr>
                <w:sz w:val="20"/>
              </w:rPr>
            </w:pPr>
          </w:p>
        </w:tc>
        <w:tc>
          <w:tcPr>
            <w:tcW w:w="183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663" w:rsidRDefault="00286663">
            <w:pPr>
              <w:rPr>
                <w:sz w:val="20"/>
              </w:rPr>
            </w:pPr>
          </w:p>
        </w:tc>
      </w:tr>
      <w:tr w:rsidR="00286663" w:rsidTr="00DD7095"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663" w:rsidRDefault="00DD709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дефицита бюджета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Комитет финансов Ленинградской области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        </w:t>
            </w:r>
          </w:p>
          <w:p w:rsidR="00286663" w:rsidRDefault="00DD709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663" w:rsidRDefault="00DD7095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Глава по БК</w:t>
            </w:r>
          </w:p>
        </w:tc>
        <w:tc>
          <w:tcPr>
            <w:tcW w:w="18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663" w:rsidRDefault="00DD709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985</w:t>
            </w:r>
          </w:p>
        </w:tc>
      </w:tr>
      <w:tr w:rsidR="00286663" w:rsidTr="00DD7095">
        <w:trPr>
          <w:trHeight w:val="280"/>
        </w:trPr>
        <w:tc>
          <w:tcPr>
            <w:tcW w:w="604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663" w:rsidRDefault="00DD709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Наименование бюджета </w:t>
            </w:r>
          </w:p>
        </w:tc>
        <w:tc>
          <w:tcPr>
            <w:tcW w:w="27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663" w:rsidRDefault="00286663">
            <w:pPr>
              <w:rPr>
                <w:sz w:val="24"/>
              </w:rPr>
            </w:pPr>
          </w:p>
        </w:tc>
        <w:tc>
          <w:tcPr>
            <w:tcW w:w="22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663" w:rsidRDefault="00286663">
            <w:pPr>
              <w:rPr>
                <w:sz w:val="24"/>
              </w:rPr>
            </w:pPr>
          </w:p>
        </w:tc>
        <w:tc>
          <w:tcPr>
            <w:tcW w:w="183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663" w:rsidRDefault="00286663">
            <w:pPr>
              <w:rPr>
                <w:sz w:val="24"/>
              </w:rPr>
            </w:pPr>
          </w:p>
        </w:tc>
      </w:tr>
      <w:tr w:rsidR="00286663" w:rsidTr="00DD7095">
        <w:trPr>
          <w:trHeight w:val="210"/>
        </w:trPr>
        <w:tc>
          <w:tcPr>
            <w:tcW w:w="0" w:type="auto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663" w:rsidRDefault="00DD709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(публично-правового образования)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Областной бюджет Ленинградской области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286663" w:rsidRDefault="00DD7095">
            <w:pPr>
              <w:spacing w:line="210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   </w:t>
            </w:r>
          </w:p>
        </w:tc>
        <w:tc>
          <w:tcPr>
            <w:tcW w:w="22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663" w:rsidRDefault="00DD7095">
            <w:pPr>
              <w:spacing w:line="210" w:lineRule="atLeast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 ОКТМО</w:t>
            </w:r>
          </w:p>
        </w:tc>
        <w:tc>
          <w:tcPr>
            <w:tcW w:w="183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663" w:rsidRDefault="00DD7095">
            <w:pPr>
              <w:spacing w:line="21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41000000</w:t>
            </w:r>
          </w:p>
        </w:tc>
      </w:tr>
      <w:tr w:rsidR="00286663" w:rsidTr="00DD7095">
        <w:trPr>
          <w:trHeight w:val="315"/>
        </w:trPr>
        <w:tc>
          <w:tcPr>
            <w:tcW w:w="604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663" w:rsidRDefault="00DD709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Периодичность:    месячная, квартальная, годовая</w:t>
            </w:r>
          </w:p>
        </w:tc>
        <w:tc>
          <w:tcPr>
            <w:tcW w:w="27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663" w:rsidRDefault="00286663">
            <w:pPr>
              <w:rPr>
                <w:sz w:val="24"/>
              </w:rPr>
            </w:pPr>
          </w:p>
        </w:tc>
        <w:tc>
          <w:tcPr>
            <w:tcW w:w="22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663" w:rsidRDefault="00286663">
            <w:pPr>
              <w:rPr>
                <w:sz w:val="24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663" w:rsidRDefault="00286663">
            <w:pPr>
              <w:rPr>
                <w:sz w:val="24"/>
              </w:rPr>
            </w:pPr>
          </w:p>
        </w:tc>
      </w:tr>
      <w:tr w:rsidR="00286663" w:rsidTr="00DD7095">
        <w:trPr>
          <w:trHeight w:val="282"/>
        </w:trPr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663" w:rsidRDefault="00DD709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Единица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измерения: руб.</w:t>
            </w:r>
          </w:p>
        </w:tc>
        <w:tc>
          <w:tcPr>
            <w:tcW w:w="27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663" w:rsidRDefault="00286663">
            <w:pPr>
              <w:rPr>
                <w:sz w:val="24"/>
              </w:rPr>
            </w:pPr>
          </w:p>
        </w:tc>
        <w:tc>
          <w:tcPr>
            <w:tcW w:w="22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663" w:rsidRDefault="00DD7095">
            <w:pPr>
              <w:spacing w:before="240" w:beforeAutospacing="1" w:after="240" w:afterAutospacing="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   по ОКЕИ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663" w:rsidRDefault="00DD709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383</w:t>
            </w:r>
          </w:p>
        </w:tc>
      </w:tr>
      <w:tr w:rsidR="00286663" w:rsidTr="00DD7095">
        <w:trPr>
          <w:trHeight w:val="282"/>
        </w:trPr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663" w:rsidRDefault="00286663">
            <w:pPr>
              <w:rPr>
                <w:sz w:val="24"/>
              </w:rPr>
            </w:pPr>
          </w:p>
        </w:tc>
        <w:tc>
          <w:tcPr>
            <w:tcW w:w="27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663" w:rsidRDefault="00286663">
            <w:pPr>
              <w:rPr>
                <w:sz w:val="24"/>
              </w:rPr>
            </w:pPr>
          </w:p>
        </w:tc>
        <w:tc>
          <w:tcPr>
            <w:tcW w:w="22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663" w:rsidRDefault="00286663">
            <w:pPr>
              <w:rPr>
                <w:sz w:val="24"/>
              </w:rPr>
            </w:pPr>
          </w:p>
        </w:tc>
        <w:tc>
          <w:tcPr>
            <w:tcW w:w="183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663" w:rsidRDefault="00286663">
            <w:pPr>
              <w:rPr>
                <w:sz w:val="24"/>
              </w:rPr>
            </w:pPr>
          </w:p>
        </w:tc>
      </w:tr>
      <w:tr w:rsidR="00286663" w:rsidTr="00DD7095">
        <w:trPr>
          <w:trHeight w:val="282"/>
        </w:trPr>
        <w:tc>
          <w:tcPr>
            <w:tcW w:w="10363" w:type="dxa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663" w:rsidRDefault="00286663">
            <w:pPr>
              <w:rPr>
                <w:sz w:val="24"/>
              </w:rPr>
            </w:pPr>
          </w:p>
        </w:tc>
      </w:tr>
    </w:tbl>
    <w:p w:rsidR="00DD7095" w:rsidRDefault="00DD7095">
      <w:pPr>
        <w:keepNext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D7095" w:rsidRDefault="00DD7095">
      <w:pPr>
        <w:keepNext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86663" w:rsidRDefault="00DD7095">
      <w:pPr>
        <w:keepNext/>
        <w:jc w:val="center"/>
        <w:outlineLvl w:val="2"/>
        <w:rPr>
          <w:rFonts w:ascii="Times New Roman" w:eastAsia="Times New Roman" w:hAnsi="Times New Roman" w:cs="Times New Roman"/>
          <w:b/>
          <w:sz w:val="27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аздел 1 «Организационная структура </w:t>
      </w:r>
    </w:p>
    <w:p w:rsidR="00286663" w:rsidRDefault="00DD7095">
      <w:pPr>
        <w:keepNext/>
        <w:jc w:val="center"/>
        <w:outlineLvl w:val="2"/>
        <w:rPr>
          <w:rFonts w:ascii="Times New Roman" w:eastAsia="Times New Roman" w:hAnsi="Times New Roman" w:cs="Times New Roman"/>
          <w:b/>
          <w:sz w:val="27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субъекта бюджетной отчетности»</w:t>
      </w:r>
    </w:p>
    <w:p w:rsidR="00DD7095" w:rsidRDefault="00DD7095">
      <w:pPr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86663" w:rsidRDefault="00DD7095">
      <w:pPr>
        <w:ind w:firstLine="7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286663" w:rsidRDefault="00DD7095">
      <w:pPr>
        <w:ind w:firstLine="7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Полное наименование: Комитет финансов Ленинградской области</w:t>
      </w:r>
    </w:p>
    <w:p w:rsidR="00286663" w:rsidRDefault="00DD7095">
      <w:pPr>
        <w:ind w:firstLine="7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Юридический адрес: </w:t>
      </w:r>
    </w:p>
    <w:p w:rsidR="00286663" w:rsidRDefault="00DD7095">
      <w:pPr>
        <w:ind w:firstLine="7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191311 г. Санкт-Петербург, Суворовский проспект, д. 67</w:t>
      </w:r>
    </w:p>
    <w:p w:rsidR="00286663" w:rsidRDefault="00DD7095">
      <w:pPr>
        <w:ind w:firstLine="7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Фактический адрес:</w:t>
      </w:r>
    </w:p>
    <w:p w:rsidR="00286663" w:rsidRDefault="00DD7095">
      <w:pPr>
        <w:ind w:firstLine="7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191311 г. Санкт-Петербург, Суворовский проспект, д. 67</w:t>
      </w:r>
    </w:p>
    <w:p w:rsidR="00286663" w:rsidRDefault="00DD7095">
      <w:pPr>
        <w:ind w:firstLine="7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Комитет финансов Ленинградской области (далее - Комитет) обладает статусом финансового органа Ленинградской области - субъекта Российской Федерации и является органом исполнительной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власти Ленинградской области, обеспечивающим формирование и реализацию единой государственной финансовой, налоговой и бюджетной политики в Ленинградской области, осуществляющим составление проекта областного бюджета Ленинградской области и организацию испо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лнения областного бюджета Ленинградской области, исполнительно-распорядительные функции по управлению финансами Ленинградской области и координацию деятельности в сфере бюджетных правоотношений органов исполнительной власти Ленинградской области в соответс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твии с Постановлением Правительства Ленинградской области от 27 мая 2014 № 191 «Об утверждении положения о комитете финансов Ленинградской области и признании утратившими силу отдельных постановлений Правительства Ленинградской области».</w:t>
      </w:r>
    </w:p>
    <w:p w:rsidR="00286663" w:rsidRDefault="00DD7095">
      <w:pPr>
        <w:ind w:firstLine="7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Комитет возглавляе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Марков Роман Иванович – ранее Первый заместитель Председателя Правительства Ленинградской области – председатель комитета финансов Ленинградской области, с 3 февраля 2026 года первый вице-губернатор Ленинградской области – заместитель Председателя Правит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ельства Ленинградской области – председатель комитета финансов Ленинградской области (распоряжение Губернатора Ленинградской области от 3 февраля 2026 года № 62-рг).</w:t>
      </w:r>
    </w:p>
    <w:p w:rsidR="00286663" w:rsidRDefault="00DD7095">
      <w:pPr>
        <w:ind w:firstLine="7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Обязанности главного бухгалтера возложены на начальника департамента бюджетного учета и 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нсолидированной отчетности – главного бухгалтера Комитета Ивакину Марину Валерьевну (распоряжение Губернатора Ленинградской области от 25.01.2021 № 58-рг).</w:t>
      </w:r>
    </w:p>
    <w:p w:rsidR="00286663" w:rsidRDefault="00DD7095">
      <w:pPr>
        <w:ind w:firstLine="7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Осуществление и учет операций по кассовым выплатам из бюджета Ленинградской области ведется в услови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 открытия в Управлении Федерального казначейства по Ленинградской области лицевого счета финансовому органу.</w:t>
      </w:r>
    </w:p>
    <w:p w:rsidR="00286663" w:rsidRDefault="00DD7095">
      <w:pPr>
        <w:ind w:firstLine="700"/>
        <w:jc w:val="both"/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Годовой отчет об исполнении областного бюджета Ленинградской области за 2025 год составлен на основании данных Главной книги и показателей форм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юджетной отчетности финансового органа, 44 субъектов бюджетной отчетности, являющихся главными распорядителями средств областного бюджета Ленинградской области и главными администраторами доходов областного бюджета Ленинградской области, в том числе 2 из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оторых являются главными администраторами источников финансирования дефицита областного бюджета Ленинградской области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и 1 главного администратора доходов областного бюджета Ленинградской области.</w:t>
      </w:r>
    </w:p>
    <w:p w:rsidR="00286663" w:rsidRDefault="00DD7095">
      <w:pPr>
        <w:ind w:firstLine="7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Представленные показатели годового отчета об исполнении обл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астного бюджета Ленинградской области по состоянию на 01 января 2026 года составлены исходя из нормативных правовых актов, регулирующих ведение бюджетного учета и составление бюджетной отчетности.</w:t>
      </w:r>
    </w:p>
    <w:p w:rsidR="00286663" w:rsidRDefault="00DD7095">
      <w:pPr>
        <w:ind w:firstLine="7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286663" w:rsidRDefault="00DD7095">
      <w:pPr>
        <w:keepNext/>
        <w:jc w:val="center"/>
        <w:outlineLvl w:val="2"/>
        <w:rPr>
          <w:b/>
          <w:sz w:val="27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Раздел 2 «Результаты деятельности </w:t>
      </w:r>
    </w:p>
    <w:p w:rsidR="00286663" w:rsidRDefault="00DD7095">
      <w:pPr>
        <w:keepNext/>
        <w:jc w:val="center"/>
        <w:outlineLvl w:val="2"/>
        <w:rPr>
          <w:b/>
          <w:sz w:val="27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субъекта бюджетной отч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етности»</w:t>
      </w:r>
    </w:p>
    <w:p w:rsidR="00DD7095" w:rsidRDefault="00DD7095">
      <w:pPr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86663" w:rsidRDefault="00DD7095">
      <w:pPr>
        <w:ind w:firstLine="7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целях подготовки документов стратегического планирования в Ленинградской области разработан бюджетный прогноз Ленинградской области на двенадцать лет (до 2034 года). Бюджетный прогноз на долгосрочный период включает в себя прогноз основных хар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актеристик областного и консолидированного бюджетов Ленинградской области, показатели финансового обеспечения государственных программ Ленинградской области, иные показатели, характеризующие областной бюджет Ленинградской области, а также основные подходы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формированию бюджетной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политики на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долгосрочный период. Принято Постановление Правительства Ленинградской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области от 17.02.2023 №104 (ред. от 14.02.2025, от 13.02.2026) «Об утверждении бюджетного прогноза Ленинградской области на период до 2034 года».</w:t>
      </w:r>
    </w:p>
    <w:p w:rsidR="00286663" w:rsidRDefault="00DD7095">
      <w:pPr>
        <w:ind w:firstLine="7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целях совершенствования законодательства в части межбюджетных отношений в Ленинградской области приняты:</w:t>
      </w:r>
    </w:p>
    <w:p w:rsidR="00286663" w:rsidRDefault="00DD7095">
      <w:pPr>
        <w:ind w:firstLine="7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областной закон Ленинградской области от 14.10.2019 № 75-оз (ред. от 23.06.2025) «О межбюджетных отношениях в Ленинградской области»;</w:t>
      </w:r>
    </w:p>
    <w:p w:rsidR="00286663" w:rsidRDefault="00DD7095">
      <w:pPr>
        <w:ind w:firstLine="7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постановление Пра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вительства Ленинградской области от 27.03.2025 № 282 «О внесении изменений в постановление Правительства Ленинградской области от 20.07.2016 № 257 «Об утверждении Правил предоставления субсидий местным бюджетам из областного бюджета Ленинградской области».</w:t>
      </w:r>
    </w:p>
    <w:p w:rsidR="00286663" w:rsidRDefault="00DD7095">
      <w:pPr>
        <w:ind w:firstLine="700"/>
        <w:jc w:val="both"/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целях осуществления мер по увеличению поступлений налоговых и неналоговых доходов в областной бюджет Ленинградской области, повышению эффективности использования бюджетных средств, оптимизации расходов областного бюджета Ленинградской области, эффективн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ому управлению государственным долгом Ленинградской области и государственными финансовыми активами Ленинградской области принято распоряжение Правительства Ленинградской области от 20.02.2023 N 109-р (ред. от 07.11.2025) «Об утверждении Плана мероприятий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росту доходов, оптимизации расходов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сокращению государственного долга Ленинградской области на 2023 год и на плановый период 2024 и 2025 годов».</w:t>
      </w:r>
    </w:p>
    <w:p w:rsidR="00286663" w:rsidRDefault="00DD7095">
      <w:pPr>
        <w:ind w:firstLine="7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целях создания условий для повышения эффективности использования бюджетных средств областного бюджета 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нинградской области и увеличения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поступлений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налоговых и неналоговых доходов областного бюджета Ленинградской области принято постановление Правительства Ленинградской области от 26.12.2024 N 971 (ред. от 08.12.2025) «О мерах по реализации в 2025 году обла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стного закона «Об областном бюджете Ленинградской области на 2025 год и на плановый период 2026 и 2027 годов.</w:t>
      </w:r>
    </w:p>
    <w:p w:rsidR="00286663" w:rsidRDefault="00DD7095">
      <w:pPr>
        <w:ind w:firstLine="7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целях совершенствования документов стратегического планирования принято постановление Правительства Ленинградской области от 30.10.2024 № 747 «О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внесении изменений в постановление Правительства Ленинградской области от 29 июня 2015 года № 246 «Об утверждении Порядка разработки и утверждения бюджетного прогноза Ленинградской области на долгосрочный период».</w:t>
      </w:r>
    </w:p>
    <w:p w:rsidR="00286663" w:rsidRDefault="00DD7095">
      <w:pPr>
        <w:ind w:firstLine="7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приведения нормативных правовых актов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Ленинградской области в соответствие с бюджетным законодательством Российской Федерации в Ленинградской области приняты:</w:t>
      </w:r>
    </w:p>
    <w:p w:rsidR="00286663" w:rsidRDefault="00DD7095">
      <w:pPr>
        <w:ind w:firstLine="700"/>
        <w:jc w:val="both"/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постановление Правительства Ленинградской области от 27.12.2019 № 37 (ред. от 10.09.2024) «Об утверждении Порядка согласования с предс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тавительными органами муниципальных районов (городского округа) Ленинградской области замены дотаций на выравнивание бюджетной обеспеченности муниципальных районов (городского округа) дополнительными нормативами отчислений в бюджеты муниципальных районов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городских округов) от налога на доходы физических лиц на очередной финансовый год и плановый период»;</w:t>
      </w:r>
      <w:proofErr w:type="gramEnd"/>
    </w:p>
    <w:p w:rsidR="00286663" w:rsidRDefault="00DD7095">
      <w:pPr>
        <w:ind w:firstLine="7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постановление Правительства Ленинградской области от 26.03.2020 № 153 (ред. от 29.12.2025) «О соглашениях, предусматривающих меры по социально-экономическ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 развитию и оздоровлению муниципальных финансов муниципальных образований Ленинградской области»;</w:t>
      </w:r>
    </w:p>
    <w:p w:rsidR="00286663" w:rsidRDefault="00DD7095">
      <w:pPr>
        <w:ind w:firstLine="7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распоряжение Правительства Ленинградской области от 30.05.2024 № 269-р (ред. от 17.01.2025) «Об установлении предельных уровней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софинансирования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Ленинградс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 областью (в процентах) объема расходных обязательств муниципальных образований Ленинградской области на 2025 год и на плановый период 2026 и 2027 годов».</w:t>
      </w:r>
    </w:p>
    <w:p w:rsidR="00286663" w:rsidRDefault="00DD7095">
      <w:pPr>
        <w:ind w:firstLine="7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целях выполнения мероприятий по совершенствованию бюджетного процесса Ленинградской области прин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яты постановления Правительства Ленинградской области:</w:t>
      </w:r>
    </w:p>
    <w:p w:rsidR="00286663" w:rsidRDefault="00DD7095">
      <w:pPr>
        <w:ind w:firstLine="7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от 25.04.2016 № 122 (ред. от 01.12.2025) «Об утверждении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Методики расчета нормативов формирования расходов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содержание органов местного самоуправления муниципальных образований Ленинградской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области»;</w:t>
      </w:r>
    </w:p>
    <w:p w:rsidR="00286663" w:rsidRDefault="00DD7095">
      <w:pPr>
        <w:ind w:firstLine="7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от 23.12.2024 № 949 «О нормативах формирования расходов на содержание органов местного самоуправления муниципальных образований Ленинградской области на 2025 год».</w:t>
      </w:r>
    </w:p>
    <w:p w:rsidR="00286663" w:rsidRDefault="00DD7095">
      <w:pPr>
        <w:ind w:firstLine="7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2014 года в Ленинградской области действует государственная программа Ленингра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дской области «Управление государственными финансами и государственным долгом Ленинградской области», утвержденная постановлением Правительства Ленинградской области от 14.11.2013 № 402 (ред. от 29.12.2025), срок действия программы 2014-2030 годы.</w:t>
      </w:r>
    </w:p>
    <w:p w:rsidR="00286663" w:rsidRDefault="00DD7095">
      <w:pPr>
        <w:ind w:firstLine="7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 испол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нение данной программы и в целях формирования стимулов к повышению качества управления муниципальными финансами в муниципальных образованиях Ленинградской области принят приказ Комитета от 02.02.2022 № 18–02/20-06 (ред. от 23.12.2025) «О порядке осуществле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оценки качества управления муниципальными финансами в Ленинградской области».</w:t>
      </w:r>
    </w:p>
    <w:p w:rsidR="00286663" w:rsidRDefault="00DD7095">
      <w:pPr>
        <w:ind w:firstLine="7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Кроме того, для повышения эффективности и качества управления средствами областного бюджета Ленинградской области утвержден приказ Комитета от 26.02.2021 № 18-02/02-12 (ред.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27.02.2025) «О порядке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проведения оценки качества финансового менеджмента главных администраторов средств областного бюджета Ленинградской области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286663" w:rsidRDefault="00DD7095">
      <w:pPr>
        <w:ind w:firstLine="7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Ленинградской области в соответствии с распоряжением Губернатора Ленинградской области от 25 июня 2018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№388-рг образован Методический совет Ленинградской области по бюджетному (бухгалтерскому) учету (далее – Методический совет).</w:t>
      </w:r>
    </w:p>
    <w:p w:rsidR="00286663" w:rsidRDefault="00DD7095">
      <w:pPr>
        <w:ind w:firstLine="700"/>
        <w:jc w:val="both"/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Методический совет является постоянно действующим совещательным органом, образованным для оказания информационной и консульт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ативной помощи главным распорядителям средств областного бюджета Ленинградской области (далее - ГРБС), финансовым органам муниципальных образований Ленинградской области (далее - ФО), государственным (муниципальным) учреждениям Ленинградской области по воп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росам применения федеральных стандартов бухгалтерского учета для организаций государственного сектора (далее - СГС), в целях качественного внедрения стандартов, и по вопросам централизации бюджетного (бухгалтерского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учета в органах исполнительной власти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государственных учреждений Ленинградской области, а также для организации методической работы по совершенствованию бюджетного (бухгалтерского) учета.</w:t>
      </w:r>
    </w:p>
    <w:p w:rsidR="00286663" w:rsidRDefault="00DD7095">
      <w:pPr>
        <w:ind w:firstLine="7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состав Методического совета входят представители финансовых органов муниципальных образований Ленинград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ской области, ведомственных комитетов и Комитета. Возглавляет Методический совет первый вице-губернатор Ленинградской области – заместитель Председателя Правительства Ленинградской области – председатель комитета финансов Ленинградской области.</w:t>
      </w:r>
    </w:p>
    <w:p w:rsidR="00286663" w:rsidRDefault="00DD7095">
      <w:pPr>
        <w:ind w:firstLine="7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2025 году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состоялось два заседания Методического совета, в том числе одно расширенное.</w:t>
      </w:r>
    </w:p>
    <w:p w:rsidR="00286663" w:rsidRDefault="00DD7095">
      <w:pPr>
        <w:jc w:val="both"/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Заседание Методического совета 15 мая 2025 года было посвящено вопросам подведения итогов сдачи годовой отчетности за 2024 год, организации перехода в 2026 году на применение 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федерального стандарта бухгалтерского учета государственных финансов «Единый план счетов бухгалтерского учета государственных финансов», обсуждению наиболее актуальных вопросов возникающих в процессе применения электронных первичных документов, создава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емых в соответствии с приказом Минфина РФ от 15.04.2021 года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№61н "Об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Методических указаний по их формированию и применению" (далее – приказ Минфина 61н) в подсистеме бюджетного учета учреждений и оплаты труда информационной системы «Управление бюджетным процессом в Ленинградской области».</w:t>
      </w:r>
    </w:p>
    <w:p w:rsidR="00286663" w:rsidRDefault="00DD7095">
      <w:pPr>
        <w:ind w:firstLine="7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расширенном заседании методичес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кого совета 22 декабря 2025 года с привлечением представителей главных распорядителей средств областного бюджета Ленинградской области, рассмотрены вопросы: </w:t>
      </w:r>
    </w:p>
    <w:p w:rsidR="00286663" w:rsidRDefault="00DD7095">
      <w:pPr>
        <w:ind w:firstLine="7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завершения текущего финансового года. Совершенствование методологии бюджетного (бухгалтерского)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учета и отчетности организаций бюджетной сферы;</w:t>
      </w:r>
    </w:p>
    <w:p w:rsidR="00286663" w:rsidRDefault="00DD7095">
      <w:pPr>
        <w:ind w:firstLine="7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подготовки, формирования и порядка представления годовой отчетности об исполнении бюджета за 2025 год;</w:t>
      </w:r>
    </w:p>
    <w:p w:rsidR="00286663" w:rsidRDefault="00DD7095">
      <w:pPr>
        <w:ind w:firstLine="7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обзор проблем применения федерального стандарта бухгалтерского учета государственных финансов «Концес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сионные соглашения» и особенности отражения в бюджетном (бухгалтерском) учете операций по концессионным соглашениям;</w:t>
      </w:r>
    </w:p>
    <w:p w:rsidR="00286663" w:rsidRDefault="00DD7095">
      <w:pPr>
        <w:ind w:firstLine="7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реализации осуществления внутреннего контроля оформления фактов хозяйственной жизни, путем автоматизации бюджетных процессов на примере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операций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Репо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депозитов;</w:t>
      </w:r>
    </w:p>
    <w:p w:rsidR="00286663" w:rsidRDefault="00DD7095">
      <w:pPr>
        <w:ind w:firstLine="7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 результатам мониторинга дебиторской задолженности по расходам по состоянию на 01.01.2025 и 01.07.2025 с целью принятия решения о необходимости принятия дополнительных мер, направленных на снижение риска невозврата дебиторско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задолженности по расходам и предотвращение рисков возникновения просроченной задолженности на уровне областного бюджета Ленинградской области.</w:t>
      </w:r>
    </w:p>
    <w:p w:rsidR="00286663" w:rsidRDefault="00DD7095">
      <w:pPr>
        <w:ind w:firstLine="7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 материалы по работе Методического совета размещены на официальном сайте комитета финансов Ленинградской обл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асти:</w:t>
      </w:r>
    </w:p>
    <w:p w:rsidR="00286663" w:rsidRDefault="00DD7095">
      <w:pPr>
        <w:ind w:firstLine="700"/>
        <w:jc w:val="both"/>
      </w:pPr>
      <w:hyperlink r:id="rId6">
        <w:r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http://finance.lenobl.ru/programm/meropriiatiia/metod_sovet/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86663" w:rsidRDefault="00DD7095">
      <w:pPr>
        <w:shd w:val="clear" w:color="auto" w:fill="FFFFFF"/>
        <w:ind w:firstLine="700"/>
        <w:jc w:val="both"/>
        <w:rPr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Ленинградской области внедрение электронного документооборота в целях обеспечения применения унифицированн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 форм электронных документов в соответствие с приказом Минфина 61н осуществляется путем создания новой подсистемы «Документооборот государственного учреждения»  (ЭДО), реализованной на базе продукта «1С», в рамках развития информационной системы «Управле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 бюджетным процессом Ленинградской области».</w:t>
      </w:r>
    </w:p>
    <w:p w:rsidR="00286663" w:rsidRDefault="00DD7095">
      <w:pPr>
        <w:shd w:val="clear" w:color="auto" w:fill="FFFFFF"/>
        <w:ind w:firstLine="700"/>
        <w:jc w:val="both"/>
        <w:rPr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создании подсистемы ЭДО значительный вклад внесли результаты работы рабочих групп Комитета по вопросам электронного документооборота в рамках бюджетного (бухгалтерского) учета государственных (муниципальн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ых) учреждений в информационной системе «Управление бюджетным процессом Ленинградской области».</w:t>
      </w:r>
    </w:p>
    <w:p w:rsidR="00DD7095" w:rsidRDefault="00DD7095">
      <w:pPr>
        <w:keepNext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D7095" w:rsidRDefault="00DD7095">
      <w:pPr>
        <w:keepNext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86663" w:rsidRDefault="00DD7095">
      <w:pPr>
        <w:keepNext/>
        <w:jc w:val="center"/>
        <w:outlineLvl w:val="2"/>
        <w:rPr>
          <w:b/>
          <w:sz w:val="27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3 «Анализ отчета об исполнении бюджета</w:t>
      </w:r>
    </w:p>
    <w:p w:rsidR="00286663" w:rsidRDefault="00DD7095">
      <w:pPr>
        <w:keepNext/>
        <w:jc w:val="center"/>
        <w:outlineLvl w:val="2"/>
        <w:rPr>
          <w:b/>
          <w:sz w:val="27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субъектом бюджетной отчетности»</w:t>
      </w:r>
    </w:p>
    <w:p w:rsidR="00DD7095" w:rsidRDefault="00DD7095">
      <w:pPr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86663" w:rsidRDefault="00DD7095">
      <w:pPr>
        <w:ind w:firstLine="7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2025 год в областной бюджет Ленинградской области поступило доходов в сумме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281 924 182 558,88 руб., что составляет 100,1% от годовых плановых назначений в сумме 281 707 692 734,12 руб. </w:t>
      </w:r>
    </w:p>
    <w:p w:rsidR="00286663" w:rsidRDefault="00DD7095">
      <w:pPr>
        <w:ind w:firstLine="7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структуре доходов основной удельный вес (91,3%) занимают налоговые и неналоговые доходы которые поступили в сумме 257 515 541 223,35 руб.</w:t>
      </w:r>
    </w:p>
    <w:p w:rsidR="00286663" w:rsidRDefault="00DD7095">
      <w:pPr>
        <w:ind w:firstLine="7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Основными доходными источниками областного бюджета Ленинградской области за 2025 год являлись налог на прибыль организаций, налог на доходы физических лиц, налог на имущество организаций и акцизы. Эти четыре налога сформировали 88,1% поступлений по налогов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 и неналоговым доходам областного бюджета Ленинградской области.</w:t>
      </w:r>
    </w:p>
    <w:p w:rsidR="00286663" w:rsidRDefault="00DD7095">
      <w:pPr>
        <w:ind w:firstLine="7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Темп роста поступлений налога на прибыль организаций к прошлому году составил 90,1%, отрицательная динамика обусловлена как сокращением платежей от налогоплательщиков Ленинградской области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учетом результатов их финансово-хозяйственной деятельности, так и сокращением поступлений доходов в рамках компенсационного механизма, установленного на федеральном уровне в связи с отменой деятельности консолидированных групп налогоплательщиков.</w:t>
      </w:r>
    </w:p>
    <w:p w:rsidR="00286663" w:rsidRDefault="00DD7095">
      <w:pPr>
        <w:ind w:firstLine="7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нало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гу на доходы физических лиц темп роста поступлений к уровню 2024 года составил 116,7%, что обусловлено увеличением налогооблагаемой базы, в том числе за счёт роста заработной платы и численности работников. </w:t>
      </w:r>
    </w:p>
    <w:p w:rsidR="00286663" w:rsidRDefault="00DD7095">
      <w:pPr>
        <w:ind w:firstLine="7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налогу на имущество организаций поступления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оставили 98,7% к уровню 2024 года в основном за счет снижения налогооблагаемой базы в результате переоценки остаточной стоимости основных фондов у отдельных налогоплательщиков.</w:t>
      </w:r>
    </w:p>
    <w:p w:rsidR="00286663" w:rsidRDefault="00DD7095">
      <w:pPr>
        <w:ind w:firstLine="7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акцизам темп роста поступлений доходов по сравнению с 2024 годом составил 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0,9%, что обусловлено ростом налоговых ставок в среднем на 5 %, а также увеличением норматива отчислений от отдельных акцизов в бюджет Ленинградской области.</w:t>
      </w:r>
    </w:p>
    <w:p w:rsidR="00286663" w:rsidRDefault="00DD7095">
      <w:pPr>
        <w:ind w:firstLine="7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Неналоговые доходы в структуре налоговых и неналоговых доходов областного бюджета составили 9,3%. </w:t>
      </w:r>
    </w:p>
    <w:p w:rsidR="00286663" w:rsidRDefault="00DD7095">
      <w:pPr>
        <w:ind w:firstLine="7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структуре неналоговых доходов наибольшую долю поступлений (72,2%) обеспечили доходы от использования имущества, находящегося в государственной собственности, в основном за счёт роста в 1,2 раза доходов от размещения средств областного бюджета Ленинградс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 области.</w:t>
      </w:r>
    </w:p>
    <w:p w:rsidR="00286663" w:rsidRDefault="00DD7095">
      <w:pPr>
        <w:ind w:firstLine="7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долю безвозмездных поступлений приходится 8,7% доходной части областного бюджета Ленинградской области.</w:t>
      </w:r>
    </w:p>
    <w:p w:rsidR="00286663" w:rsidRDefault="00DD7095">
      <w:pPr>
        <w:ind w:firstLine="7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2025 год безвозмездные поступления в областной бюджет Ленинградской области составили 24 408 641 335,53 руб. или 102,1% от годовых пл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ановых назначений в сумме 23 903 595 287,91 руб. Наибольшая доля безвозмездных поступлений приходится на безвозмездные поступления от других бюджетов бюджетной системы Российской Федерации (92,1%). </w:t>
      </w:r>
    </w:p>
    <w:p w:rsidR="00286663" w:rsidRDefault="00DD7095">
      <w:pPr>
        <w:ind w:firstLine="7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Расходная часть областного бюджета Ленинградской области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2025 год исполнена в сумме 300 730 376 384,02 руб., что составляет 96,1% от плановых назначений в сумме 312 823 915 454,38 руб.</w:t>
      </w:r>
    </w:p>
    <w:p w:rsidR="00DD7095" w:rsidRDefault="00DD7095">
      <w:pPr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Исполнение расходной части областного бюджета Ленинградской области за 2025 год по разделам бюджетной классификации характери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зуется следующими показателями:</w:t>
      </w:r>
    </w:p>
    <w:p w:rsidR="00DD7095" w:rsidRDefault="00DD7095">
      <w:pPr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86663" w:rsidRDefault="00DD7095">
      <w:pPr>
        <w:ind w:firstLine="700"/>
        <w:jc w:val="both"/>
        <w:rPr>
          <w:rFonts w:ascii="Times New Roman" w:eastAsia="Times New Roman" w:hAnsi="Times New Roman" w:cs="Times New Roman"/>
          <w:vanish/>
          <w:color w:val="000000"/>
        </w:rPr>
      </w:pPr>
      <w:r>
        <w:rPr>
          <w:rFonts w:ascii="Times New Roman" w:eastAsia="Times New Roman" w:hAnsi="Times New Roman" w:cs="Times New Roman"/>
          <w:vanish/>
          <w:color w:val="000000"/>
        </w:rPr>
        <w:t> </w:t>
      </w:r>
    </w:p>
    <w:p w:rsidR="00DD7095" w:rsidRDefault="00DD7095">
      <w:pPr>
        <w:ind w:firstLine="700"/>
        <w:jc w:val="both"/>
      </w:pPr>
    </w:p>
    <w:tbl>
      <w:tblPr>
        <w:tblW w:w="9750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3"/>
        <w:gridCol w:w="1845"/>
        <w:gridCol w:w="1943"/>
        <w:gridCol w:w="1321"/>
        <w:gridCol w:w="1278"/>
      </w:tblGrid>
      <w:tr w:rsidR="00286663">
        <w:trPr>
          <w:trHeight w:val="349"/>
        </w:trPr>
        <w:tc>
          <w:tcPr>
            <w:tcW w:w="3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663" w:rsidRDefault="00DD7095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663" w:rsidRDefault="00DD709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663" w:rsidRDefault="00DD709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663" w:rsidRDefault="00DD709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6663" w:rsidRDefault="00DD7095">
            <w:pPr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</w:tr>
      <w:tr w:rsidR="00286663">
        <w:trPr>
          <w:trHeight w:val="1140"/>
        </w:trPr>
        <w:tc>
          <w:tcPr>
            <w:tcW w:w="3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6663" w:rsidRDefault="00DD7095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6663" w:rsidRDefault="00DD7095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  <w:p w:rsidR="00286663" w:rsidRDefault="00DD7095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План</w:t>
            </w:r>
          </w:p>
          <w:p w:rsidR="00286663" w:rsidRDefault="00DD7095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6663" w:rsidRDefault="00DD7095"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  <w:p w:rsidR="00286663" w:rsidRDefault="00DD7095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Исполнено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br/>
            </w: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6663" w:rsidRDefault="00DD7095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%% исполнения </w:t>
            </w:r>
          </w:p>
          <w:p w:rsidR="00286663" w:rsidRDefault="00DD7095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плана года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6663" w:rsidRDefault="00DD7095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Удельный вес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исполнено в общей сумме расходов</w:t>
            </w:r>
          </w:p>
        </w:tc>
      </w:tr>
      <w:tr w:rsidR="00286663">
        <w:trPr>
          <w:trHeight w:val="247"/>
        </w:trPr>
        <w:tc>
          <w:tcPr>
            <w:tcW w:w="33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663" w:rsidRDefault="00DD7095"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РАСХОДЫ БЮДЖЕТА - ИТОГО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663" w:rsidRDefault="00DD7095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312 823 915 454,38</w:t>
            </w:r>
          </w:p>
        </w:tc>
        <w:tc>
          <w:tcPr>
            <w:tcW w:w="19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663" w:rsidRDefault="00DD7095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300 730 376 384,02</w:t>
            </w:r>
          </w:p>
        </w:tc>
        <w:tc>
          <w:tcPr>
            <w:tcW w:w="13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663" w:rsidRDefault="00DD7095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663" w:rsidRDefault="00DD7095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286663">
        <w:trPr>
          <w:trHeight w:val="289"/>
        </w:trPr>
        <w:tc>
          <w:tcPr>
            <w:tcW w:w="33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663" w:rsidRDefault="00DD7095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ОБЩЕГОСУДАРСТВЕННЫЕ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ВОПРОСЫ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663" w:rsidRDefault="00DD709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20 408 117 793,50</w:t>
            </w:r>
          </w:p>
        </w:tc>
        <w:tc>
          <w:tcPr>
            <w:tcW w:w="19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663" w:rsidRDefault="00DD709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15 468 866 799,05</w:t>
            </w:r>
          </w:p>
        </w:tc>
        <w:tc>
          <w:tcPr>
            <w:tcW w:w="13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663" w:rsidRDefault="00DD709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663" w:rsidRDefault="00DD709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5,1</w:t>
            </w:r>
          </w:p>
        </w:tc>
      </w:tr>
      <w:tr w:rsidR="00286663">
        <w:trPr>
          <w:trHeight w:val="227"/>
        </w:trPr>
        <w:tc>
          <w:tcPr>
            <w:tcW w:w="3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663" w:rsidRDefault="00DD7095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НАЦИОНАЛЬНАЯ ОБОРОНА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663" w:rsidRDefault="00DD709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797 857 352,05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663" w:rsidRDefault="00DD709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765 826 928,25</w:t>
            </w: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663" w:rsidRDefault="00DD709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96,0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663" w:rsidRDefault="00DD709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</w:tr>
      <w:tr w:rsidR="00286663">
        <w:trPr>
          <w:trHeight w:val="612"/>
        </w:trPr>
        <w:tc>
          <w:tcPr>
            <w:tcW w:w="3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663" w:rsidRDefault="00DD7095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663" w:rsidRDefault="00DD709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6 107 594 597,78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663" w:rsidRDefault="00DD709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6 002 244 632,85</w:t>
            </w: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663" w:rsidRDefault="00DD709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98,3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663" w:rsidRDefault="00DD709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</w:tr>
      <w:tr w:rsidR="00286663">
        <w:trPr>
          <w:trHeight w:val="289"/>
        </w:trPr>
        <w:tc>
          <w:tcPr>
            <w:tcW w:w="3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663" w:rsidRDefault="00DD7095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663" w:rsidRDefault="00DD709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67 999 613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555,53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663" w:rsidRDefault="00DD709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66 361 056 102,35</w:t>
            </w: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663" w:rsidRDefault="00DD709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97,6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663" w:rsidRDefault="00DD709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22,1</w:t>
            </w:r>
          </w:p>
        </w:tc>
      </w:tr>
      <w:tr w:rsidR="00286663">
        <w:trPr>
          <w:trHeight w:val="289"/>
        </w:trPr>
        <w:tc>
          <w:tcPr>
            <w:tcW w:w="3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663" w:rsidRDefault="00DD7095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663" w:rsidRDefault="00DD709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21 540 762 027,36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663" w:rsidRDefault="00DD709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20 538 338 172,24</w:t>
            </w: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663" w:rsidRDefault="00DD709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95,3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663" w:rsidRDefault="00DD709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6,8</w:t>
            </w:r>
          </w:p>
        </w:tc>
      </w:tr>
      <w:tr w:rsidR="00286663">
        <w:trPr>
          <w:trHeight w:val="289"/>
        </w:trPr>
        <w:tc>
          <w:tcPr>
            <w:tcW w:w="3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663" w:rsidRDefault="00DD7095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ОХРАНА ОКРУЖАЮЩЕЙ СРЕДЫ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663" w:rsidRDefault="00DD709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947 914 434,70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663" w:rsidRDefault="00DD709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858 733 137,71</w:t>
            </w: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663" w:rsidRDefault="00DD709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90,6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663" w:rsidRDefault="00DD709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</w:tr>
      <w:tr w:rsidR="00286663">
        <w:trPr>
          <w:trHeight w:val="289"/>
        </w:trPr>
        <w:tc>
          <w:tcPr>
            <w:tcW w:w="3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663" w:rsidRDefault="00DD7095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663" w:rsidRDefault="00DD709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67 307 498 715,47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663" w:rsidRDefault="00DD709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65 419 592 147,20</w:t>
            </w: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663" w:rsidRDefault="00DD709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97,2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663" w:rsidRDefault="00DD709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21,8</w:t>
            </w:r>
          </w:p>
        </w:tc>
      </w:tr>
      <w:tr w:rsidR="00286663">
        <w:trPr>
          <w:trHeight w:val="289"/>
        </w:trPr>
        <w:tc>
          <w:tcPr>
            <w:tcW w:w="3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663" w:rsidRDefault="00DD7095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КУЛЬТУРА,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КИНЕМАТОГРАФИЯ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663" w:rsidRDefault="00DD709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7 048 111 518,62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663" w:rsidRDefault="00DD709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6 382 137 693,50</w:t>
            </w: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663" w:rsidRDefault="00DD709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90,6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663" w:rsidRDefault="00DD709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2,1</w:t>
            </w:r>
          </w:p>
        </w:tc>
      </w:tr>
      <w:tr w:rsidR="00286663">
        <w:trPr>
          <w:trHeight w:val="282"/>
        </w:trPr>
        <w:tc>
          <w:tcPr>
            <w:tcW w:w="3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663" w:rsidRDefault="00DD7095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ЗДРАВООХРАНЕНИЕ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663" w:rsidRDefault="00DD709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32 088 089 100,57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663" w:rsidRDefault="00DD709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31 608 656 573,99</w:t>
            </w: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663" w:rsidRDefault="00DD709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98,5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663" w:rsidRDefault="00DD709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10,5</w:t>
            </w:r>
          </w:p>
        </w:tc>
      </w:tr>
      <w:tr w:rsidR="00286663">
        <w:trPr>
          <w:trHeight w:val="316"/>
        </w:trPr>
        <w:tc>
          <w:tcPr>
            <w:tcW w:w="3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663" w:rsidRDefault="00DD7095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663" w:rsidRDefault="00DD709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72 351 642 323,41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663" w:rsidRDefault="00DD709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71 973 070 751,86</w:t>
            </w: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663" w:rsidRDefault="00DD709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99,5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663" w:rsidRDefault="00DD709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23,9</w:t>
            </w:r>
          </w:p>
        </w:tc>
      </w:tr>
      <w:tr w:rsidR="00286663">
        <w:trPr>
          <w:trHeight w:val="289"/>
        </w:trPr>
        <w:tc>
          <w:tcPr>
            <w:tcW w:w="3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663" w:rsidRDefault="00DD7095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663" w:rsidRDefault="00DD709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4 365 236 463,11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663" w:rsidRDefault="00DD709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3 714 947 900,04</w:t>
            </w: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663" w:rsidRDefault="00DD709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85,1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663" w:rsidRDefault="00DD709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</w:t>
            </w:r>
          </w:p>
        </w:tc>
      </w:tr>
      <w:tr w:rsidR="00286663">
        <w:trPr>
          <w:trHeight w:val="289"/>
        </w:trPr>
        <w:tc>
          <w:tcPr>
            <w:tcW w:w="3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663" w:rsidRDefault="00DD7095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663" w:rsidRDefault="00DD709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662 057 271,39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663" w:rsidRDefault="00DD709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662 057 271,39</w:t>
            </w: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663" w:rsidRDefault="00DD709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663" w:rsidRDefault="00DD709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</w:tr>
      <w:tr w:rsidR="00286663">
        <w:trPr>
          <w:trHeight w:val="289"/>
        </w:trPr>
        <w:tc>
          <w:tcPr>
            <w:tcW w:w="3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663" w:rsidRDefault="00DD7095"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ВСЕГО ПО СОЦИАЛЬНО-КУЛЬТУРНОЙ СФЕРЕ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663" w:rsidRDefault="00DD7095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183 822 635 392,57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663" w:rsidRDefault="00DD7095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179 760 462 337,98</w:t>
            </w: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663" w:rsidRDefault="00DD7095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97,8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663" w:rsidRDefault="00DD7095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59,8</w:t>
            </w:r>
          </w:p>
        </w:tc>
      </w:tr>
      <w:tr w:rsidR="00286663">
        <w:trPr>
          <w:trHeight w:val="649"/>
        </w:trPr>
        <w:tc>
          <w:tcPr>
            <w:tcW w:w="3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663" w:rsidRDefault="00DD7095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ОБСЛУЖИВАНИЕ ГОСУДАРСТВЕННОГО И МУНИЦИПАЛЬНОГО ДОЛГА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663" w:rsidRDefault="00DD709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269 496 700,00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663" w:rsidRDefault="00DD709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264 630 615,51</w:t>
            </w: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663" w:rsidRDefault="00DD709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98,2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663" w:rsidRDefault="00DD709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</w:tr>
      <w:tr w:rsidR="00286663">
        <w:trPr>
          <w:trHeight w:val="280"/>
        </w:trPr>
        <w:tc>
          <w:tcPr>
            <w:tcW w:w="3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663" w:rsidRDefault="00DD7095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663" w:rsidRDefault="00DD709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10 929 923 600,89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663" w:rsidRDefault="00DD709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10 710 217 658,08</w:t>
            </w: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663" w:rsidRDefault="00DD709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98,0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663" w:rsidRDefault="00DD709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3,6</w:t>
            </w:r>
          </w:p>
        </w:tc>
      </w:tr>
    </w:tbl>
    <w:p w:rsidR="00DD7095" w:rsidRDefault="00DD7095">
      <w:pPr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D7095" w:rsidRDefault="00DD7095">
      <w:pPr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86663" w:rsidRDefault="00DD7095">
      <w:pPr>
        <w:ind w:firstLine="7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общем объеме произведенных расходов наибольший удельный вес (59,8%) составляют расходы на социально-культурную сферу. Исполнение за 2025 год по направлениям социально-культурной сферы составляет 179 760 462 337,98 руб. или 97,8% от плановых назначений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сумме 183 822 635 392,57 руб. </w:t>
      </w:r>
    </w:p>
    <w:p w:rsidR="00286663" w:rsidRDefault="00DD7095">
      <w:pPr>
        <w:ind w:firstLine="7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Значительно ниже среднего уровня исполнены расходы по следующим разделам:</w:t>
      </w:r>
    </w:p>
    <w:p w:rsidR="00286663" w:rsidRDefault="00DD7095">
      <w:pPr>
        <w:ind w:firstLine="7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«Общегосударственные вопросы» 75,8% (удельный вес в структуре расходов 5,1%). В расходной части областного бюджета Ленинградской области по данному раз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делу запланированы резервные фонды и средства, иным образом зарезервированные (22,8% раздела), распределение которых осуществляется по мере необходимости. Остаток указанных средств объясняется отсутствием потребности в их распределении;</w:t>
      </w:r>
    </w:p>
    <w:p w:rsidR="00286663" w:rsidRDefault="00DD7095">
      <w:pPr>
        <w:ind w:firstLine="7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«Физическая культур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и спорт» 85,1% (удельный вес в структуре расходов 1,3%), что обусловлено в основном неисполнением расходов на капитальные вложения в рамках адресной инвестиционной программы;</w:t>
      </w:r>
    </w:p>
    <w:p w:rsidR="00286663" w:rsidRDefault="00DD7095">
      <w:pPr>
        <w:ind w:firstLine="7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«Культура, кинематография» 90,6% (удельный вес в структуре расходов 2,1%) что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обусловлено нарушением подрядчиками сроков выполнения работ по государственным контрактам на проведение ремонтно-реставрационных работ по сохранению объектов культурного наследия;</w:t>
      </w:r>
    </w:p>
    <w:p w:rsidR="00286663" w:rsidRDefault="00DD7095">
      <w:pPr>
        <w:ind w:firstLine="7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«Охрана окружающей среды» 90,6% (удельный вес в структуре расходов 0,3%) что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обусловлено расторжением соглашений с муниципальными образованиями Ленинградской области (далее – МО ЛО) по причине фактического отсутствия несанкционированных свалок на территории данных МО ЛО, а также расторжением государственного контракта на поставку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тяжелого грузового эвакуатора в связи с неисполнением поставщиком обязательств.</w:t>
      </w:r>
    </w:p>
    <w:p w:rsidR="00286663" w:rsidRDefault="00DD7095">
      <w:pPr>
        <w:ind w:firstLine="7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2025 год при плановом дефиците 30 727 480 682,55 руб. областной бюджет Ленинградской области исполнен с дефицитом 18 806 193 825,14 руб.</w:t>
      </w:r>
    </w:p>
    <w:p w:rsidR="00286663" w:rsidRDefault="00DD7095">
      <w:pPr>
        <w:ind w:firstLine="7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2025 году за счет источников внутр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еннего финансирования дефицита бюджета были произведены выплаты в счет погашения долговых обязательств на общую сумму 607 239 028,49 руб., из них:</w:t>
      </w:r>
    </w:p>
    <w:p w:rsidR="00286663" w:rsidRDefault="00DD7095">
      <w:pPr>
        <w:ind w:firstLine="7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- 132 763 773,10 руб. - частичное погашение бюджетных кредитов, возврат которых осуществляется с учетом списа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задолженности Ленинградской области перед Российской Федерацией по бюджетным кредитам;</w:t>
      </w:r>
    </w:p>
    <w:p w:rsidR="00286663" w:rsidRDefault="00DD7095">
      <w:pPr>
        <w:ind w:firstLine="7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- 347 428 685,71 руб. - частичное погашение бюджетного кредита, привлеченного из федерального бюджета на финансовое обеспечение реализации инфраструктурного проекта;</w:t>
      </w:r>
    </w:p>
    <w:p w:rsidR="00286663" w:rsidRDefault="00DD7095">
      <w:pPr>
        <w:ind w:firstLine="7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- 127 046 569,68 руб. - частичное погашение специального казначейского кредита, привлеченного из федерального бюджета.</w:t>
      </w:r>
    </w:p>
    <w:p w:rsidR="00286663" w:rsidRDefault="00DD7095">
      <w:pPr>
        <w:ind w:firstLine="7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Объем государственного долга на 1 января 2026 года составил 11 758 555 994,49 руб.</w:t>
      </w:r>
    </w:p>
    <w:p w:rsidR="00286663" w:rsidRDefault="00DD7095">
      <w:pPr>
        <w:ind w:firstLine="7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Информация об исполнении областного бюджета Ленинград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ской области отражена в форме 0503164 «Сведения об исполнении бюджета».</w:t>
      </w:r>
    </w:p>
    <w:p w:rsidR="00DD7095" w:rsidRDefault="00DD7095">
      <w:pPr>
        <w:keepNext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D7095" w:rsidRDefault="00DD7095">
      <w:pPr>
        <w:keepNext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86663" w:rsidRDefault="00DD7095">
      <w:pPr>
        <w:keepNext/>
        <w:jc w:val="center"/>
        <w:outlineLvl w:val="2"/>
        <w:rPr>
          <w:b/>
          <w:sz w:val="27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Пояснения к показателям отчета об исполнении областного бюджета Ленинградской области (ф. 0503117) на 01 января 2026 года.</w:t>
      </w:r>
    </w:p>
    <w:p w:rsidR="00DD7095" w:rsidRDefault="00DD7095">
      <w:pPr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86663" w:rsidRDefault="00DD7095">
      <w:pPr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Показатели Отчета об исполнении областного бюджета Ленинградской области (ф. 0503117), сформированного Комитетом, сверены с показателями Отчета по поступлениям и выбытиям (ф. 0503151), представленного Управлением Федерального казначейства по Ленинградской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области (далее – УФК по ЛО) по кодам бюджетной классификации Российской Федерации соответствующих разделов по состоянию на 01 января 2026 года.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Выявленные расхождения представлены в таблице. </w:t>
      </w:r>
    </w:p>
    <w:p w:rsidR="00DD7095" w:rsidRDefault="00DD7095">
      <w:pPr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D7095" w:rsidRDefault="00DD7095">
      <w:pPr>
        <w:ind w:firstLine="700"/>
        <w:jc w:val="both"/>
      </w:pPr>
    </w:p>
    <w:tbl>
      <w:tblPr>
        <w:tblW w:w="5150" w:type="pct"/>
        <w:tblInd w:w="108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6"/>
        <w:gridCol w:w="1716"/>
        <w:gridCol w:w="1810"/>
        <w:gridCol w:w="2205"/>
        <w:gridCol w:w="2376"/>
      </w:tblGrid>
      <w:tr w:rsidR="00286663">
        <w:trPr>
          <w:trHeight w:val="842"/>
        </w:trPr>
        <w:tc>
          <w:tcPr>
            <w:tcW w:w="11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663" w:rsidRDefault="00DD709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663" w:rsidRDefault="00DD709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</w:t>
            </w:r>
          </w:p>
          <w:p w:rsidR="00286663" w:rsidRDefault="00DD709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(в рублях) </w:t>
            </w:r>
          </w:p>
          <w:p w:rsidR="00286663" w:rsidRDefault="00DD709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Отчета (ф. 050311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7)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663" w:rsidRDefault="00DD709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</w:t>
            </w:r>
          </w:p>
          <w:p w:rsidR="00286663" w:rsidRDefault="00DD709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(в рублях) Отчета               (ф. 0503151)</w:t>
            </w:r>
          </w:p>
        </w:tc>
        <w:tc>
          <w:tcPr>
            <w:tcW w:w="9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663" w:rsidRDefault="00DD709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Отклонение                (в рублях)</w:t>
            </w:r>
          </w:p>
        </w:tc>
        <w:tc>
          <w:tcPr>
            <w:tcW w:w="11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663" w:rsidRDefault="00DD7095">
            <w:pPr>
              <w:ind w:right="18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Причины отклонений</w:t>
            </w:r>
          </w:p>
        </w:tc>
      </w:tr>
      <w:tr w:rsidR="00286663">
        <w:trPr>
          <w:trHeight w:val="118"/>
        </w:trPr>
        <w:tc>
          <w:tcPr>
            <w:tcW w:w="11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663" w:rsidRDefault="00DD7095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663" w:rsidRDefault="00DD7095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663" w:rsidRDefault="00DD7095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9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663" w:rsidRDefault="00DD7095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1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663" w:rsidRDefault="00DD7095">
            <w:pPr>
              <w:ind w:right="180" w:firstLine="70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</w:tr>
      <w:tr w:rsidR="00286663">
        <w:trPr>
          <w:trHeight w:val="280"/>
        </w:trPr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6663" w:rsidRDefault="00DD7095">
            <w:pPr>
              <w:ind w:right="-24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Раздел 3 «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Источники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финансирования дефицита бюджета»</w:t>
            </w:r>
          </w:p>
        </w:tc>
      </w:tr>
      <w:tr w:rsidR="00286663">
        <w:trPr>
          <w:trHeight w:val="1050"/>
        </w:trPr>
        <w:tc>
          <w:tcPr>
            <w:tcW w:w="11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6663" w:rsidRDefault="00DD709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10001050201020000510</w:t>
            </w:r>
          </w:p>
        </w:tc>
        <w:tc>
          <w:tcPr>
            <w:tcW w:w="8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6663" w:rsidRDefault="00DD709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6663" w:rsidRDefault="00DD709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-637 081 209 473,04</w:t>
            </w:r>
          </w:p>
        </w:tc>
        <w:tc>
          <w:tcPr>
            <w:tcW w:w="9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6663" w:rsidRDefault="00DD709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637 081 209 473,04</w:t>
            </w:r>
          </w:p>
        </w:tc>
        <w:tc>
          <w:tcPr>
            <w:tcW w:w="11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6663" w:rsidRDefault="00DD7095">
            <w:pPr>
              <w:ind w:right="4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286663" w:rsidRDefault="00DD7095">
            <w:pPr>
              <w:ind w:right="4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КФ ЛО отражает операции на едином счете бюджета с кодом администратора «985» </w:t>
            </w:r>
          </w:p>
        </w:tc>
      </w:tr>
      <w:tr w:rsidR="00286663">
        <w:trPr>
          <w:trHeight w:val="1202"/>
        </w:trPr>
        <w:tc>
          <w:tcPr>
            <w:tcW w:w="11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6663" w:rsidRDefault="00DD709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10001050201020000610</w:t>
            </w:r>
          </w:p>
        </w:tc>
        <w:tc>
          <w:tcPr>
            <w:tcW w:w="8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6663" w:rsidRDefault="00DD709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6663" w:rsidRDefault="00DD709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286663" w:rsidRDefault="00DD709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644 559 520 266,02</w:t>
            </w:r>
          </w:p>
          <w:p w:rsidR="00286663" w:rsidRDefault="00DD709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6663" w:rsidRDefault="00DD709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286663" w:rsidRDefault="00DD709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-644 559 520 266,02</w:t>
            </w:r>
          </w:p>
          <w:p w:rsidR="00286663" w:rsidRDefault="00DD709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6663" w:rsidRDefault="00DD7095">
            <w:pPr>
              <w:ind w:right="4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КФ ЛО отражает операции на едином счете бюджета с кодом администратора «985»</w:t>
            </w:r>
          </w:p>
        </w:tc>
      </w:tr>
      <w:tr w:rsidR="00286663">
        <w:trPr>
          <w:trHeight w:val="992"/>
        </w:trPr>
        <w:tc>
          <w:tcPr>
            <w:tcW w:w="11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6663" w:rsidRDefault="00DD709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98501050201020000510</w:t>
            </w:r>
          </w:p>
        </w:tc>
        <w:tc>
          <w:tcPr>
            <w:tcW w:w="8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6663" w:rsidRDefault="00DD709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-637 081 209 473,04</w:t>
            </w:r>
          </w:p>
        </w:tc>
        <w:tc>
          <w:tcPr>
            <w:tcW w:w="8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6663" w:rsidRDefault="00DD709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6663" w:rsidRDefault="00DD709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-637 081 209 473,04</w:t>
            </w:r>
          </w:p>
        </w:tc>
        <w:tc>
          <w:tcPr>
            <w:tcW w:w="11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6663" w:rsidRDefault="00DD7095">
            <w:pPr>
              <w:ind w:right="4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УФК по ЛО отражает операции на едином счете бюджета с кодом администратора «100» в сумме -637 081 209 473,04</w:t>
            </w:r>
          </w:p>
        </w:tc>
      </w:tr>
      <w:tr w:rsidR="00286663">
        <w:trPr>
          <w:trHeight w:val="1068"/>
        </w:trPr>
        <w:tc>
          <w:tcPr>
            <w:tcW w:w="11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6663" w:rsidRDefault="00DD709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98501050201020000610</w:t>
            </w:r>
          </w:p>
        </w:tc>
        <w:tc>
          <w:tcPr>
            <w:tcW w:w="8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6663" w:rsidRDefault="00DD709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286663" w:rsidRDefault="00DD709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644 559 520 266,02</w:t>
            </w:r>
          </w:p>
          <w:p w:rsidR="00286663" w:rsidRDefault="00DD709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6663" w:rsidRDefault="00DD709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6663" w:rsidRDefault="00DD709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286663" w:rsidRDefault="00DD709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644 559 520 266,02</w:t>
            </w:r>
          </w:p>
          <w:p w:rsidR="00286663" w:rsidRDefault="00DD709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6663" w:rsidRDefault="00DD709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УФК по ЛО отражает</w:t>
            </w:r>
          </w:p>
          <w:p w:rsidR="00286663" w:rsidRDefault="00DD7095">
            <w:pPr>
              <w:ind w:right="4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операции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 едином счете бюджета с кодом администратора «100: в сумме 644 559 520 266,02</w:t>
            </w:r>
          </w:p>
        </w:tc>
      </w:tr>
    </w:tbl>
    <w:p w:rsidR="00DD7095" w:rsidRDefault="00DD7095">
      <w:pPr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86663" w:rsidRDefault="00DD7095">
      <w:pPr>
        <w:ind w:firstLine="7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Указанные расхождения показателей бюджетной отчетности являются допустимыми.</w:t>
      </w:r>
    </w:p>
    <w:p w:rsidR="00DD7095" w:rsidRDefault="00DD7095">
      <w:pPr>
        <w:keepNext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D7095" w:rsidRDefault="00DD7095">
      <w:pPr>
        <w:keepNext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86663" w:rsidRDefault="00DD7095">
      <w:pPr>
        <w:keepNext/>
        <w:jc w:val="center"/>
        <w:outlineLvl w:val="2"/>
        <w:rPr>
          <w:b/>
          <w:sz w:val="27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4 «Анализ показателей</w:t>
      </w:r>
    </w:p>
    <w:p w:rsidR="00286663" w:rsidRDefault="00DD7095">
      <w:pPr>
        <w:keepNext/>
        <w:jc w:val="center"/>
        <w:outlineLvl w:val="2"/>
        <w:rPr>
          <w:b/>
          <w:sz w:val="27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финансовой отчетности субъекта бюджетной отчетности» </w:t>
      </w:r>
    </w:p>
    <w:p w:rsidR="00286663" w:rsidRDefault="00DD7095">
      <w:pPr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Сведения о движении нефинансовых активов (форма 0503168) </w:t>
      </w:r>
    </w:p>
    <w:p w:rsidR="00DD7095" w:rsidRDefault="00DD7095">
      <w:pPr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D7095" w:rsidRDefault="00DD7095">
      <w:pPr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86663" w:rsidRDefault="00DD7095">
      <w:pPr>
        <w:ind w:firstLine="7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строке 560 «</w:t>
      </w:r>
      <w:bookmarkStart w:id="0" w:name="1RU995792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Вложения в объекты государственной (муниципальной) казны</w:t>
      </w:r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 отражены приобретенные в 2025 году в собственность Ленинградской области недвижимое имущество на сумму 230 000 000,00 руб.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земельные участки на сумму 21 391 730,82 руб., принятие к учету в составе имущества казны.</w:t>
      </w:r>
    </w:p>
    <w:p w:rsidR="00286663" w:rsidRDefault="00DD7095">
      <w:pPr>
        <w:ind w:firstLine="700"/>
        <w:jc w:val="both"/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Изменение остатков нефинансовых активов на 01 января 2025 года произошло в результате проведенных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межотчетный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период реорганизационных мероприятий по смене типа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осударственных и муниципальных учреждений Ленинградской области в рамках реализации Федерального Закона Российской Федерации от 08.05.2010 № 83-ФЗ «О внесении изменений в отдельные законодательные акты Российской Федерации в связи с совершенствованием прав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ового положения государственных (муниципальных) учреждений», исправления ошибок прошлых лет.</w:t>
      </w:r>
      <w:proofErr w:type="gramEnd"/>
    </w:p>
    <w:p w:rsidR="00DD7095" w:rsidRDefault="00DD7095">
      <w:pPr>
        <w:keepNext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D7095" w:rsidRDefault="00DD7095">
      <w:pPr>
        <w:keepNext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86663" w:rsidRDefault="00DD7095">
      <w:pPr>
        <w:keepNext/>
        <w:jc w:val="center"/>
        <w:outlineLvl w:val="2"/>
        <w:rPr>
          <w:b/>
          <w:sz w:val="27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Сведения по дебиторской и кредиторской задолженности (ф.0503169)</w:t>
      </w:r>
    </w:p>
    <w:p w:rsidR="00286663" w:rsidRDefault="00DD7095">
      <w:pPr>
        <w:keepNext/>
        <w:jc w:val="center"/>
        <w:outlineLvl w:val="2"/>
        <w:rPr>
          <w:b/>
          <w:sz w:val="27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Сведения по дебиторской задолженности</w:t>
      </w:r>
    </w:p>
    <w:p w:rsidR="00DD7095" w:rsidRDefault="00DD7095">
      <w:pPr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D7095" w:rsidRDefault="00DD7095">
      <w:pPr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86663" w:rsidRDefault="00DD7095">
      <w:pPr>
        <w:ind w:firstLine="7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сумма дебиторской задолженности по бюджетной деяте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льности по областному бюджету Ленинградской области на 01.01.2026 составила 126 338 396 552,75 руб., в том числе просроченная 3 737 287 730,37 руб. </w:t>
      </w:r>
    </w:p>
    <w:p w:rsidR="00286663" w:rsidRDefault="00DD7095">
      <w:pPr>
        <w:ind w:firstLine="7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Наибольший удельный вес в общем объеме дебиторской задолженности составляют расчеты по следующим счетам:</w:t>
      </w:r>
    </w:p>
    <w:p w:rsidR="00286663" w:rsidRDefault="00DD7095">
      <w:pPr>
        <w:ind w:firstLine="7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счету 1205 11 000 «Расчеты с плательщиками налогов» учтены начисленные доходы по налогам в сумме 13 918 532 245,60 руб.</w:t>
      </w:r>
    </w:p>
    <w:p w:rsidR="00286663" w:rsidRDefault="00DD7095">
      <w:pPr>
        <w:ind w:firstLine="7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счету 1 205 23 000 «Расчеты по доходам от платежей при пользовании природными ресурсами» в сумме 11 068 178 948,73 руб. </w:t>
      </w:r>
    </w:p>
    <w:p w:rsidR="00286663" w:rsidRDefault="00DD7095">
      <w:pPr>
        <w:ind w:firstLine="7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Дебиторская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задолженность по начислению доходов от платы за использование лесов и земельных участков, в том числе по договорам аренды лесных  и земельных участков на срок действия договоров.</w:t>
      </w:r>
    </w:p>
    <w:p w:rsidR="00286663" w:rsidRDefault="00DD7095">
      <w:pPr>
        <w:ind w:firstLine="700"/>
        <w:jc w:val="both"/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счетам 1 205 51 000 «Расчеты по безвозмездным поступлениям текущего харак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тера от других бюджетов бюджетной системы Российской Федерации» в размере 45 202 406 810,33 руб. и 1 205 61 000 «Расчеты по поступлениям капитального характера от других бюджетов бюджетной системы Российской Федерации» в размере 7 111 312 208,82 руб. отраж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ены доходы будущих периодов отражены доходы будущих периодов по заключенным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главными распорядителями средств федерального бюджета соглашениями на предоставление межбюджетных трансфертов в 2026-2028 годах.</w:t>
      </w:r>
    </w:p>
    <w:p w:rsidR="00286663" w:rsidRDefault="00DD7095">
      <w:pPr>
        <w:ind w:firstLine="700"/>
        <w:jc w:val="both"/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счету 1 205 53 000 «Расчеты по поступлениям 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кущего характера в бюджеты бюджетной системы Российской Федерации от бюджетных и автономных учреждений» отражен показатель расчетов с государственными бюджетными  и автономными учреждениями в сумме 1 084 412 673,92 руб. по неиспользованным остаткам целевых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средств, перечисленным по заключенным соглашениям на проведение капитального ремонта, приобретение оборудования и выплат стимулирующего характера.</w:t>
      </w:r>
      <w:proofErr w:type="gramEnd"/>
    </w:p>
    <w:p w:rsidR="00286663" w:rsidRDefault="00DD7095">
      <w:pPr>
        <w:ind w:firstLine="7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счету 1 205 54 000  «Расчеты по поступлениям текущего характера от организаций государственного сектора»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сумме 1 419 302 535,09 руб. по начисленным неиспользованным остаткам субсидий прошлых лет с ГУП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Леноблводоканал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286663" w:rsidRDefault="00DD7095">
      <w:pPr>
        <w:ind w:firstLine="700"/>
        <w:jc w:val="both"/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счету 1 205 55 000 «Расчеты по поступлениям текущего характера от иных резидентов (за исключением сектора государственного управления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организаций государственного сектора)» в сумме 873 638 568,56 руб. по начисленным доходам с НО «Фонд капитального ремонта многоквартирных домов Ленинградской области»,  АНО «Центр компетенций Ленинградской области, АНО «Дирекция по развитию транспортной 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стемы Санкт-Петербурга и Ленинградской области». </w:t>
      </w:r>
      <w:proofErr w:type="gramEnd"/>
    </w:p>
    <w:p w:rsidR="00286663" w:rsidRDefault="00DD7095">
      <w:pPr>
        <w:ind w:firstLine="7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счету 1 205 64 000 «Расчеты по поступлениям капитального характера от организаций государственного сектора» в сумме 507 409 794,53 руб. по начисленным доходам с ГУП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Леноблводоканал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286663" w:rsidRDefault="00DD7095">
      <w:pPr>
        <w:ind w:firstLine="7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счету 1 205 65 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00 «Расчеты по поступлениям капитального характера от иных резидентов (за исключением сектора государственного управления и организаций государственного сектора)» начислены доходы будущих периодов в сумме 610 877 000,00 руб. по Договору пожертвования c ООО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Ингка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Сентерс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Проперти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в целях реализации объекта «Строительство подъезда к ТПУ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Кудрово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с реконструкцией транспортной развязки на км 12+575 автомобильной дороги Р-12 «Кола». Срок погашения 2026-2028 годы.</w:t>
      </w:r>
    </w:p>
    <w:p w:rsidR="00286663" w:rsidRDefault="00DD7095">
      <w:pPr>
        <w:ind w:firstLine="7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счету 1 206 25 000 «Расчеты по аванса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по работам, услугам по содержанию имущества» в сумме 731 585 751,29 руб., перечислены авансы в соответствии с условиями государственных контрактов  на содержание, капитальный ремонт  и ремонт автомобильных дорог. Погашение текущей задолженности 2026-2027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годы. </w:t>
      </w:r>
    </w:p>
    <w:p w:rsidR="00286663" w:rsidRDefault="00DD7095">
      <w:pPr>
        <w:ind w:firstLine="7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счету 1 206 26 000 «Расчеты по авансам по прочим работам, услугам» отражены авансы в сумме 909 388 789,35 руб., в том числе  в соответствии с условиями заключенных государственных контрактов на выполнение работ, связанных с организацией транспор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тного обслуживания, проектно-изыскательских работ по капитальному ремонту автодорог, государственную экспертизу и прочие работы.</w:t>
      </w:r>
    </w:p>
    <w:p w:rsidR="00286663" w:rsidRDefault="00DD7095">
      <w:pPr>
        <w:ind w:firstLine="700"/>
        <w:jc w:val="both"/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счету 1 206 28 000 «Расчеты по авансам по услугам, работам для целей капитальных вложений» в сумме 441 984 842,42 руб. Переч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ислены авансы по услугам, работам для целей капитальных вложений, оплачено в соответствии с контрактами, на выполнение проектно-изыскательских работ по строительству автодорог, государственную экспертизу, государственный надзор, технологическое присоединен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к электросетям.</w:t>
      </w:r>
      <w:proofErr w:type="gramEnd"/>
    </w:p>
    <w:p w:rsidR="00286663" w:rsidRDefault="00DD7095">
      <w:pPr>
        <w:ind w:firstLine="7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счету 1 206 31 000 «Расчеты по авансам по приобретению основных средств» в сумме 6 934 994 699,58 руб., основная часть задолженности состоит из авансирования строительно-монтажных работ по объектам строительства и реконструкции автодо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Необходимость образования указанной задолженности связана с обеспечением бесперебойной работы подрядчиков по строительству и реконструкции автомобильных дорог. По условиям государственного контракта предусмотрено авансирование. Погашение текущей задол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женности планируется произвести в течение всего срока строительства.</w:t>
      </w:r>
    </w:p>
    <w:p w:rsidR="00286663" w:rsidRDefault="00DD7095">
      <w:pPr>
        <w:ind w:firstLine="56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счету 1 206 41 000 «Расчеты по авансовым безвозмездным перечислениям текущего характера государственным (муниципальным) учреждениям» отражены остатки неиспользованных бюджетными и авто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номными учреждениями сре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 в 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умме 778 119 050,93 руб.</w:t>
      </w:r>
    </w:p>
    <w:p w:rsidR="00286663" w:rsidRDefault="00DD7095">
      <w:pPr>
        <w:spacing w:line="276" w:lineRule="auto"/>
        <w:ind w:firstLine="56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счету 1 206 73 000 «Расчеты по авансам на приобретение акций и по иным формам участия в капитале» в сумме 4 413 901 646,50 руб. Перечислены авансы во исполнение соглашений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софинансирование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тальных вложений в объекты государственной собственности ГУП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Леноблводоканал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 срок погашения дебиторской задолженности 2027-2028 годы.</w:t>
      </w:r>
    </w:p>
    <w:p w:rsidR="00286663" w:rsidRDefault="00DD7095">
      <w:pPr>
        <w:ind w:firstLine="7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счету 1 206 82 000 «Расчеты по авансовым безвозмездным перечислениям капитального характера финансовым организациям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государственного сектора» перечислены авансы в размере 22 397 461 618,77 руб. по безвозмездным перечислениям капитального характера финансовым организациям государственного сектора, оплачено в соответствии с контрактом, срок погашения дебиторской задолженн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 не позднее 06.2026 года.</w:t>
      </w:r>
    </w:p>
    <w:p w:rsidR="00286663" w:rsidRDefault="00DD7095">
      <w:pPr>
        <w:ind w:firstLine="7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счету 1 209 41 000 «Расчеты по доходам от штрафных санкций за нарушение условий контрактов (договоров)» задолженность в сумме 1 298 987 945,82 руб. образовалась в связи с выставленными подрядчикам претензиями за нарушение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роков исполнения государственных контрактов.</w:t>
      </w:r>
    </w:p>
    <w:p w:rsidR="00286663" w:rsidRDefault="00DD7095">
      <w:pPr>
        <w:ind w:firstLine="700"/>
        <w:jc w:val="both"/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счету 1 209 45 000 «Расчеты по доходам от прочих сумм принудительного изъятия» в сумме 1 464 423 636,70 руб., в том числе отражена задолженность по исполнительному листу ФС № 037622115 от 28.11.2022 на взыска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 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Гительсона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А.В. в размере 1 459 486 162,46 руб., в части ущерба причиненного в результате незаконного или нецелевого использования бюджетных средств (в части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бюджетов субъектов Российской Федерации). </w:t>
      </w:r>
    </w:p>
    <w:p w:rsidR="00DD7095" w:rsidRDefault="00DD7095">
      <w:pPr>
        <w:keepNext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86663" w:rsidRDefault="00DD7095">
      <w:pPr>
        <w:keepNext/>
        <w:jc w:val="center"/>
        <w:outlineLvl w:val="2"/>
        <w:rPr>
          <w:b/>
          <w:sz w:val="27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:rsidR="00286663" w:rsidRDefault="00DD7095">
      <w:pPr>
        <w:keepNext/>
        <w:jc w:val="center"/>
        <w:outlineLvl w:val="2"/>
        <w:rPr>
          <w:b/>
          <w:sz w:val="27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Сведения по кредиторской задолженности</w:t>
      </w:r>
    </w:p>
    <w:p w:rsidR="00DD7095" w:rsidRDefault="00DD7095">
      <w:pPr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D7095" w:rsidRDefault="00DD7095">
      <w:pPr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86663" w:rsidRDefault="00DD7095">
      <w:pPr>
        <w:ind w:firstLine="7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сумма кредиторской задолженности по бюджетной деятельности по собственно областному бюджету на 01.01.2026 составила 16 501 466 050,34 руб. Просроченная кредиторская задолженность отсутствует. Наибольший удельный вес от общей суммы кредиторской задолженност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составляют расчеты по следующим счетам:</w:t>
      </w:r>
    </w:p>
    <w:p w:rsidR="00286663" w:rsidRDefault="00DD7095">
      <w:pPr>
        <w:ind w:firstLine="700"/>
        <w:jc w:val="both"/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счету 1 205 11 000 «Расчеты с плательщиками налогов» отражена переплата по налоговым платежам, полученная в 2025 году УФНС России по Ленинградской области в сумме 2 988 228 232,10 руб. Данная переплата возникла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счет превышения сумм уплаченных авансовых платежей над исчисленным налогом, исходя из фактически полученной прибыли по итогам отчетного периода. </w:t>
      </w:r>
      <w:proofErr w:type="gramEnd"/>
    </w:p>
    <w:p w:rsidR="00286663" w:rsidRDefault="00DD7095">
      <w:pPr>
        <w:ind w:firstLine="7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счету 1 302 75 000 «Расчеты по приобретению иных финансовых активов» в сумме 13 090 762 383,74 руб., отр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ажена сумма по операциям по управлению остатками средств на едином счете областного бюджета Ленинградской области, включая привлечение средств на единый счет областного бюджета Ленинградской области.</w:t>
      </w:r>
    </w:p>
    <w:p w:rsidR="00286663" w:rsidRDefault="00DD7095">
      <w:pPr>
        <w:ind w:firstLine="7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счету 1 303 15 000 «Расчеты по единому страховому тарифу» задолженность в сумме 229 522 373,17 руб. Начислены страховые взносы на заработную плату за декабрь 2025 года. Средства перечислены в декабре 2025 г. на единый налоговый счет и распределены налог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овой инспекцией на страховые взносы в январе 2026 года. </w:t>
      </w:r>
    </w:p>
    <w:p w:rsidR="00DD7095" w:rsidRDefault="00DD7095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D7095" w:rsidRDefault="00DD7095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86663" w:rsidRDefault="00DD7095">
      <w:pPr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Сведения о показателях бюджетной отчетности по сегментам за отчетный год, дополнительно к </w:t>
      </w:r>
      <w:hyperlink r:id="rId7">
        <w:r>
          <w:rPr>
            <w:rStyle w:val="a4"/>
            <w:rFonts w:ascii="Times New Roman" w:eastAsia="Times New Roman" w:hAnsi="Times New Roman" w:cs="Times New Roman"/>
            <w:b/>
            <w:color w:val="000000"/>
            <w:sz w:val="28"/>
            <w:szCs w:val="28"/>
            <w:u w:val="none"/>
          </w:rPr>
          <w:t>Сведениям</w:t>
        </w:r>
      </w:hyperlink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по дебиторской и кредиторской задолженности (ф. 0503169)</w:t>
      </w:r>
    </w:p>
    <w:p w:rsidR="00DD7095" w:rsidRDefault="00DD7095">
      <w:pPr>
        <w:ind w:firstLine="5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86663" w:rsidRDefault="00DD7095">
      <w:pPr>
        <w:ind w:firstLine="56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 доходам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86663" w:rsidRDefault="00DD7095">
      <w:pPr>
        <w:ind w:firstLine="56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Участники бюдже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тного процесса 52 318 016 640,10 руб.</w:t>
      </w:r>
    </w:p>
    <w:p w:rsidR="00286663" w:rsidRDefault="00DD7095">
      <w:pPr>
        <w:ind w:firstLine="56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Государственные (муниципальные) бюджетные и автономные учреждения 1 977 548 560,00 руб.</w:t>
      </w:r>
    </w:p>
    <w:p w:rsidR="00286663" w:rsidRDefault="00DD7095">
      <w:pPr>
        <w:ind w:firstLine="56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Финансовые и нефинансовые организации государственного сектора 2 836 211 446,63 руб.</w:t>
      </w:r>
    </w:p>
    <w:p w:rsidR="00286663" w:rsidRDefault="00DD7095">
      <w:pPr>
        <w:ind w:firstLine="56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 выданным авансам </w:t>
      </w:r>
    </w:p>
    <w:p w:rsidR="00286663" w:rsidRDefault="00DD7095">
      <w:pPr>
        <w:ind w:firstLine="56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Участники бюджетного 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цесса 635 292 190,79 руб.</w:t>
      </w:r>
    </w:p>
    <w:p w:rsidR="00286663" w:rsidRDefault="00DD7095">
      <w:pPr>
        <w:ind w:firstLine="56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Государственные (муниципальные) бюджетные и автономные учреждения 796 660 700,84 руб.</w:t>
      </w:r>
    </w:p>
    <w:p w:rsidR="00286663" w:rsidRDefault="00DD7095">
      <w:pPr>
        <w:ind w:firstLine="56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Финансовые и нефинансовые организации государственного сектора 26 814 050 855,19 руб.</w:t>
      </w:r>
    </w:p>
    <w:p w:rsidR="00286663" w:rsidRDefault="00DD7095">
      <w:pPr>
        <w:ind w:firstLine="56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 обязательствам </w:t>
      </w:r>
    </w:p>
    <w:p w:rsidR="00286663" w:rsidRDefault="00DD7095">
      <w:pPr>
        <w:ind w:firstLine="56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Участники бюджетного процесса 277 451 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32,78 руб.</w:t>
      </w:r>
    </w:p>
    <w:p w:rsidR="00286663" w:rsidRDefault="00DD7095">
      <w:pPr>
        <w:ind w:firstLine="56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Государственные (муниципальные) бюджетные и автономные учреждения 5 759 989 540,70 руб.</w:t>
      </w:r>
    </w:p>
    <w:p w:rsidR="00286663" w:rsidRDefault="00DD7095">
      <w:pPr>
        <w:ind w:firstLine="56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Финансовые и нефинансовые организации государственного сектора 1 241 065 031,27 руб.</w:t>
      </w:r>
    </w:p>
    <w:p w:rsidR="00DD7095" w:rsidRDefault="00DD7095">
      <w:pPr>
        <w:keepNext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D7095" w:rsidRDefault="00DD7095">
      <w:pPr>
        <w:keepNext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86663" w:rsidRDefault="00DD7095">
      <w:pPr>
        <w:keepNext/>
        <w:jc w:val="center"/>
        <w:outlineLvl w:val="2"/>
        <w:rPr>
          <w:b/>
          <w:sz w:val="27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Сведения о государственном (муниципальном) долге (ф. 0503172)</w:t>
      </w:r>
    </w:p>
    <w:p w:rsidR="00DD7095" w:rsidRDefault="00DD7095">
      <w:pPr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86663" w:rsidRDefault="00DD7095">
      <w:pPr>
        <w:ind w:firstLine="700"/>
        <w:jc w:val="both"/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01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января 2026 года объем государственного долга Ленинградской области по сравнению с 01 января 2025 года увеличился на 586 485 801,51 руб. и составил 11 758 555 994,49 руб. Увеличение долга связано с привлечением в 2025 году бюджетных кредитов из федеральног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бюджета на финансовое обеспечение реализации инфраструктурных проектов в объеме 1 193 724 830,00 руб. </w:t>
      </w:r>
      <w:proofErr w:type="gramEnd"/>
    </w:p>
    <w:p w:rsidR="00286663" w:rsidRDefault="00DD7095">
      <w:pPr>
        <w:ind w:firstLine="7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2025 году за счет источников внутреннего финансирования дефицита бюджета были произведены выплаты в счет погашения долговых обязательств на общую сум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 607 239 028,49 руб., из них:</w:t>
      </w:r>
    </w:p>
    <w:p w:rsidR="00286663" w:rsidRDefault="00DD7095">
      <w:pPr>
        <w:ind w:firstLine="7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- 132 763 773,10 руб. - частичное погашение бюджетных кредитов, возврат которых осуществляется с учетом списания задолженности Ленинградской области перед Российской Федерацией по бюджетным кредитам;</w:t>
      </w:r>
    </w:p>
    <w:p w:rsidR="00286663" w:rsidRDefault="00DD7095">
      <w:pPr>
        <w:ind w:firstLine="7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- 347 428 685,71 руб.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частичное погашение бюджетного кредита, привлеченного из федерального бюджета на финансовое обеспечение реализации инфраструктурного проекта; </w:t>
      </w:r>
    </w:p>
    <w:p w:rsidR="00286663" w:rsidRDefault="00DD7095">
      <w:pPr>
        <w:ind w:firstLine="7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-127 046 569,68 руб. – частичное погашение специального казначейского кредита, привлеченного из федерального бюдж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ета.</w:t>
      </w:r>
    </w:p>
    <w:p w:rsidR="00286663" w:rsidRDefault="00DD7095">
      <w:pPr>
        <w:ind w:firstLine="7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Структура государственного долга по состоянию на 1 января 2026 года включает в себя только бюджетные кредиты, предоставленные из федерального бюджета. </w:t>
      </w:r>
    </w:p>
    <w:p w:rsidR="00286663" w:rsidRDefault="00DD7095">
      <w:pPr>
        <w:ind w:firstLine="7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разделу 1300 «Обслуживание внутреннего государственного и муниципального долга»: расходы на обсл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уживание государственного долга Ленинградской области за 2025 год составили 264 630 615,51 руб. или 98,2 % от годового плана в сумме 269 496 700,00 руб. Выплаты по обслуживанию государственного долга осуществлялись в соответствии условиями соглашений. </w:t>
      </w:r>
    </w:p>
    <w:p w:rsidR="00286663" w:rsidRDefault="00DD7095">
      <w:pPr>
        <w:ind w:firstLine="7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Расходы на оплату услуг кредитных рейтинговых агентств осуществлены в полном объеме на сумму 588 000,00 руб.</w:t>
      </w:r>
    </w:p>
    <w:p w:rsidR="00286663" w:rsidRDefault="00DD7095">
      <w:pPr>
        <w:ind w:firstLine="7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Расходы на выплаты агентских комиссий и вознаграждений осуществлялись по фактическим объемам оказанных услуг на основании представленных актов выпо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лненных работ (услуг) и составили 26 500,00 руб. или 100,0% от годового плана в сумме 26 500,00 руб.</w:t>
      </w:r>
    </w:p>
    <w:p w:rsidR="00286663" w:rsidRDefault="00DD7095">
      <w:pPr>
        <w:ind w:firstLine="700"/>
        <w:jc w:val="both"/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2025 год в рамках операций по управлению остатками средств областного бюджета было проведено 208 аукционов (торгов) по размещению временно свободных ден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ежных средств областного бюджета Ленинградской области на банковские депозиты на общую сумму 531 600 000 000,0 руб. на срок от 31 до 96 дней и 181 аукцион на срок от 1 до 14 дней на общую сумму 369 503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000 000,0 руб. по операциям покупки (продажи) ценных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умаг по договорам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репо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D7095" w:rsidRDefault="00DD7095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D7095" w:rsidRDefault="00DD7095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86663" w:rsidRDefault="00DD7095">
      <w:pPr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Сведения о финансовых вложениях получателя бюджетных средств, администратора источников финансирования дефицита бюджета (ф. 0503171) (далее – Сведения ф. 0503171)</w:t>
      </w:r>
    </w:p>
    <w:p w:rsidR="00DD7095" w:rsidRDefault="00DD7095">
      <w:pPr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86663" w:rsidRDefault="00DD7095">
      <w:pPr>
        <w:ind w:firstLine="7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счету 00000000000000000 1 204 31 000 «Акции» отражены финансов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 вложения в сумме 9 024 614 898,90 руб.</w:t>
      </w:r>
    </w:p>
    <w:p w:rsidR="00286663" w:rsidRDefault="00DD7095">
      <w:pPr>
        <w:ind w:firstLine="7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счету 00000000000000000 1 204 32 000 «Уставный фонд государственных (муниципальных) предприятий» отражены финансовые вложения в сумме 650 579 903,03 руб.</w:t>
      </w:r>
    </w:p>
    <w:p w:rsidR="00286663" w:rsidRDefault="00DD7095">
      <w:pPr>
        <w:ind w:firstLine="7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счету 00000000000000000 1 204 33 000 «Участие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государственных (муниципальных) учреждениях» отражены финансовые вложения в сумме 200 614 844 061,04 руб.</w:t>
      </w:r>
    </w:p>
    <w:p w:rsidR="00286663" w:rsidRDefault="00DD7095">
      <w:pPr>
        <w:ind w:firstLine="7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счету 00000000000000000 1 204 34 000 «Иные формы участия в капитале» отражены финансовые вложения в сумме 1 427 706 400,00 руб.</w:t>
      </w:r>
    </w:p>
    <w:p w:rsidR="00286663" w:rsidRDefault="00DD7095">
      <w:pPr>
        <w:ind w:firstLine="7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счету 0000000000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0000000 1 215 32 000 «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Уставной фонд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государственных (муниципальных) предприятий» отражены вложения в финансовые активы  сумме 3 348 741 541,15 руб.</w:t>
      </w:r>
    </w:p>
    <w:p w:rsidR="00DD7095" w:rsidRDefault="00DD7095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" w:name="_GoBack"/>
      <w:bookmarkEnd w:id="1"/>
    </w:p>
    <w:p w:rsidR="00286663" w:rsidRDefault="00DD7095">
      <w:pPr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Сведения о доходах бюджета от перечисления части прибыли (дивидендов) государственных (муниципальных) унит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арных предприятий, иных организаций с государственным участием в капитале (ф. 0503174)</w:t>
      </w:r>
    </w:p>
    <w:p w:rsidR="00DD7095" w:rsidRDefault="00DD7095">
      <w:pPr>
        <w:ind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86663" w:rsidRDefault="00DD7095">
      <w:pPr>
        <w:ind w:firstLine="560"/>
        <w:jc w:val="both"/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Сведениях ф. 0503171 по счету 00000000000000000 1 204 32 000 «Уставный фонд государственных (муниципальных) предприятий» отражена стоимость уставного капитала ГУП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еноблводоканал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в сумме 650 579 903,03 руб., при этом часть прибыли (дивидендов) в 2025 году не поступала в доход бюджета Ленинградской области в связи с тем, что деятельность ГУП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Леноблводоканал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является убыточной.</w:t>
      </w:r>
      <w:proofErr w:type="gramEnd"/>
    </w:p>
    <w:p w:rsidR="00DD7095" w:rsidRDefault="00DD7095">
      <w:pPr>
        <w:keepNext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86663" w:rsidRDefault="00DD7095">
      <w:pPr>
        <w:keepNext/>
        <w:jc w:val="center"/>
        <w:outlineLvl w:val="2"/>
        <w:rPr>
          <w:b/>
          <w:sz w:val="27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Сведения о вложениях в объекты недви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жимого имущества, объектах незавершенного строительства (ф. 0503190)</w:t>
      </w:r>
    </w:p>
    <w:p w:rsidR="00DD7095" w:rsidRDefault="00DD7095">
      <w:pPr>
        <w:ind w:firstLine="8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86663" w:rsidRDefault="00DD7095">
      <w:pPr>
        <w:ind w:firstLine="860"/>
        <w:jc w:val="both"/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протоколе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внутридокументного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контроля отражено отклонение в части того, что показатель графы 21 «Кассовые расходы с начала реализации инвестиционного проекта, всего» меньше показателя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графы 20 «Расходы на реализацию инвестиционного проекта по данным бухгалтерского учета, руб. на конец года» по причине принятия  фактических расходов в виде документов учреждением, кассовые расходы учреждением в этом случае не осуществлялись.</w:t>
      </w:r>
      <w:proofErr w:type="gramEnd"/>
    </w:p>
    <w:p w:rsidR="00286663" w:rsidRDefault="00DD7095">
      <w:pPr>
        <w:ind w:firstLine="86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междокумен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контроле ф. 0503190 с данными ф. 0503190 прошлого отчетного периода выявлено, что сумма фактических расходов на начало года не соответствует показателю предыдущего годового отчета, отклонения обусловлены исправлением ошибок прошлых лет. </w:t>
      </w:r>
    </w:p>
    <w:p w:rsidR="00286663" w:rsidRDefault="00DD7095">
      <w:pPr>
        <w:ind w:firstLine="7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ходе провед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енной оценки состояния объектов капитальных вложений, ряд объектов присвоен код статуса 09 «Иной статус»,  в связи с тем, что:</w:t>
      </w:r>
    </w:p>
    <w:p w:rsidR="00286663" w:rsidRDefault="00DD7095">
      <w:pPr>
        <w:numPr>
          <w:ilvl w:val="0"/>
          <w:numId w:val="1"/>
        </w:numPr>
        <w:spacing w:line="276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Положительного решения о финансирования объекта не принято. </w:t>
      </w:r>
    </w:p>
    <w:p w:rsidR="00286663" w:rsidRDefault="00DD7095">
      <w:pPr>
        <w:numPr>
          <w:ilvl w:val="0"/>
          <w:numId w:val="1"/>
        </w:numPr>
        <w:spacing w:line="276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Приостановлено финансовое обеспечение.</w:t>
      </w:r>
    </w:p>
    <w:p w:rsidR="00286663" w:rsidRDefault="00DD7095">
      <w:pPr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Дальнейшее строительство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нецелесообразно, принимается решение о сносе (демонтаже) объекта.</w:t>
      </w:r>
    </w:p>
    <w:p w:rsidR="00286663" w:rsidRDefault="00DD7095">
      <w:pPr>
        <w:ind w:firstLine="7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объектам капитальные вложений, с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начала формирования которых истекло более 10 лет (сформированные до 2015 года):</w:t>
      </w:r>
    </w:p>
    <w:p w:rsidR="00286663" w:rsidRDefault="00DD7095">
      <w:pPr>
        <w:ind w:firstLine="7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Организована работа по списанию произведенных затрат.</w:t>
      </w:r>
    </w:p>
    <w:p w:rsidR="00286663" w:rsidRDefault="00DD7095">
      <w:pPr>
        <w:ind w:firstLine="7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Дальнейше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строительство нецелесообразно, решается вопрос по сносу объекта незавершенного строительства. </w:t>
      </w:r>
    </w:p>
    <w:p w:rsidR="00286663" w:rsidRDefault="00DD7095">
      <w:pPr>
        <w:ind w:firstLine="7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Положительного решения о финансировании не принято. </w:t>
      </w:r>
    </w:p>
    <w:p w:rsidR="00286663" w:rsidRDefault="00DD7095">
      <w:pPr>
        <w:ind w:firstLine="7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целях исполнения поручения Президента Российской Федерации от 11.06.2016 № Пр-1138ГС (подпункт «г» пу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нкта 6) комитетом финансов Ленинградской области организована работа органов исполнительной власти Ленинградской области и администраций муниципальных районов Ленинградской области по сокращению объемов незавершенного строительства на территории Ленинградс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 области.</w:t>
      </w:r>
    </w:p>
    <w:p w:rsidR="00286663" w:rsidRDefault="00DD7095">
      <w:pPr>
        <w:ind w:firstLine="700"/>
        <w:jc w:val="both"/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рамках данной работы распоряжением комитета финансов Ленинградской области  от 29.12.2020 №18-03/19-123 на комитет финансов Ленинградской области возложены полномочия по учету и ведению реестра капитальных вложений в объекты незавершенного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троительства государственной собственности Ленинградской области и собственности муниципальных образований Ленинградской области, состоящие на балансе органов исполнительной власти Ленинградской области, органов местного самоуправления муниципальных образо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ваний Ленинградской области, а также подведомственных им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организаций, при строительстве которых были использованы средства бюджетов всех уровней бюджетной системы Российской Федерации и  принято Постановление Правительства Ленинградской области от 28.02.20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22 №126 «О принятии решений о списании затрат, понесенных на незавершенное строительство объектов капитального строительства собственности Ленинградской области, финансовое обеспечение которых осуществлялось за счет средств областного бюджета Ленинградской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области». </w:t>
      </w:r>
    </w:p>
    <w:p w:rsidR="00DD7095" w:rsidRDefault="00DD7095">
      <w:pPr>
        <w:keepNext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86663" w:rsidRDefault="00DD7095">
      <w:pPr>
        <w:keepNext/>
        <w:jc w:val="center"/>
        <w:outlineLvl w:val="2"/>
        <w:rPr>
          <w:b/>
          <w:sz w:val="27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Раздел 5 «Прочие вопросы деятельности </w:t>
      </w:r>
    </w:p>
    <w:p w:rsidR="00286663" w:rsidRDefault="00DD7095">
      <w:pPr>
        <w:keepNext/>
        <w:jc w:val="center"/>
        <w:outlineLvl w:val="2"/>
        <w:rPr>
          <w:b/>
          <w:sz w:val="27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субъекта бюджетной отчетности»</w:t>
      </w:r>
    </w:p>
    <w:p w:rsidR="00DD7095" w:rsidRDefault="00DD7095">
      <w:pPr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86663" w:rsidRDefault="00DD7095">
      <w:pPr>
        <w:ind w:firstLine="7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Ведение бюджетного учета в органах государственной власти, казенных учреждениях Ленинградской области, финансовом органе – комитете финансов Ленинградской области, осущес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твляется на основании действующих инструкций по бюджетному учету, утвержденных приказами Министерства финансов Российской Федерации, положений федеральных стандартов бухгалтерского учета государственных финансов.</w:t>
      </w:r>
    </w:p>
    <w:p w:rsidR="00286663" w:rsidRDefault="00DD7095">
      <w:pPr>
        <w:ind w:firstLine="7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Перечень форм отчетности, не включенных в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 бюджетной отчетности на 01 января 2026 года в виду отсутствия числовых значений показателей:</w:t>
      </w:r>
    </w:p>
    <w:p w:rsidR="00286663" w:rsidRDefault="00DD7095">
      <w:pPr>
        <w:ind w:firstLine="7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Справка по консолидируемым расчетам (ф. 0503125) по счетам:</w:t>
      </w:r>
    </w:p>
    <w:p w:rsidR="00286663" w:rsidRDefault="00DD7095">
      <w:pPr>
        <w:ind w:firstLine="7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120711000 «Расчеты с бюджетами бюджетной системы Российской Федерации по предоставленным бюджет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 кредитам»;</w:t>
      </w:r>
    </w:p>
    <w:p w:rsidR="00286663" w:rsidRDefault="00DD7095">
      <w:pPr>
        <w:ind w:firstLine="7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120711541 «Увеличение задолженности бюджетов бюджетной системы Российской Федерации по предоставленным бюджетным кредитам»</w:t>
      </w:r>
    </w:p>
    <w:p w:rsidR="00286663" w:rsidRDefault="00DD7095">
      <w:pPr>
        <w:ind w:firstLine="7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120711641 «Уменьшение задолженности бюджетов бюджетной системы Российской Федерации по предоставленным бюджетным креди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там»</w:t>
      </w:r>
    </w:p>
    <w:p w:rsidR="00286663" w:rsidRDefault="00DD7095">
      <w:pPr>
        <w:ind w:firstLine="7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130251000 «Расчеты по перечислениям текущего характера другим бюджетам бюджетной системы Российской Федерации»</w:t>
      </w:r>
    </w:p>
    <w:p w:rsidR="00286663" w:rsidRDefault="00DD7095">
      <w:pPr>
        <w:ind w:firstLine="7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130254000 «Расчеты по перечислениям капитального характера другим бюджетам бюджетной системы Российской Федерации»;</w:t>
      </w:r>
    </w:p>
    <w:p w:rsidR="00286663" w:rsidRDefault="00DD7095">
      <w:pPr>
        <w:ind w:firstLine="7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130254831 «Уменьшение кр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едиторской задолженности по перечислениям капитального характера другим бюджетам бюджетной системы Российской Федерации»;</w:t>
      </w:r>
    </w:p>
    <w:p w:rsidR="00286663" w:rsidRDefault="00DD7095">
      <w:pPr>
        <w:ind w:firstLine="7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140110189 «Иные доходы»;</w:t>
      </w:r>
    </w:p>
    <w:p w:rsidR="00286663" w:rsidRDefault="00DD7095">
      <w:pPr>
        <w:ind w:firstLine="7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Сведения о целевых иностранных кредитах (ф. 0503167).</w:t>
      </w:r>
    </w:p>
    <w:p w:rsidR="00286663" w:rsidRDefault="00DD7095">
      <w:r>
        <w:rPr>
          <w:rFonts w:ascii="Times New Roman" w:eastAsia="Times New Roman" w:hAnsi="Times New Roman" w:cs="Times New Roman"/>
          <w:color w:val="000000"/>
        </w:rPr>
        <w:t> </w:t>
      </w:r>
    </w:p>
    <w:p w:rsidR="00286663" w:rsidRDefault="00286663"/>
    <w:tbl>
      <w:tblPr>
        <w:tblW w:w="11575" w:type="dxa"/>
        <w:tblInd w:w="-743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5245"/>
        <w:gridCol w:w="3778"/>
      </w:tblGrid>
      <w:tr w:rsidR="00286663" w:rsidTr="00DD7095">
        <w:tc>
          <w:tcPr>
            <w:tcW w:w="1157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6663" w:rsidRDefault="00286663"/>
        </w:tc>
      </w:tr>
      <w:tr w:rsidR="00286663" w:rsidTr="00DD7095"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6663" w:rsidRDefault="00DD709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5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6663" w:rsidRDefault="00DD709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6D1F58E4" wp14:editId="66A20881">
                  <wp:extent cx="2857500" cy="9525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6663" w:rsidRDefault="00DD709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Нюнин Илья Геннадьевич</w:t>
            </w:r>
          </w:p>
          <w:p w:rsidR="00286663" w:rsidRDefault="00DD709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  <w:tr w:rsidR="00286663" w:rsidTr="00DD7095">
        <w:trPr>
          <w:trHeight w:val="280"/>
        </w:trPr>
        <w:tc>
          <w:tcPr>
            <w:tcW w:w="25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663" w:rsidRDefault="00286663">
            <w:pPr>
              <w:rPr>
                <w:sz w:val="24"/>
              </w:rPr>
            </w:pPr>
          </w:p>
        </w:tc>
        <w:tc>
          <w:tcPr>
            <w:tcW w:w="5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6663" w:rsidRDefault="00DD709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286663" w:rsidRDefault="00DD709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286663" w:rsidRDefault="00DD709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6663" w:rsidRDefault="00286663">
            <w:pPr>
              <w:rPr>
                <w:sz w:val="24"/>
              </w:rPr>
            </w:pPr>
          </w:p>
        </w:tc>
      </w:tr>
      <w:tr w:rsidR="00286663" w:rsidTr="00DD7095">
        <w:trPr>
          <w:trHeight w:val="132"/>
        </w:trPr>
        <w:tc>
          <w:tcPr>
            <w:tcW w:w="11575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663" w:rsidRDefault="00DD709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86663" w:rsidTr="00DD7095">
        <w:trPr>
          <w:trHeight w:val="281"/>
        </w:trPr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6663" w:rsidRDefault="00DD709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 финансов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экономической службы</w:t>
            </w:r>
          </w:p>
        </w:tc>
        <w:tc>
          <w:tcPr>
            <w:tcW w:w="5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6663" w:rsidRDefault="00DD709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4D25578C" wp14:editId="2C9C7D43">
                  <wp:extent cx="2857500" cy="9525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6663" w:rsidRDefault="00DD709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Иванова Ирина Васильевна</w:t>
            </w:r>
          </w:p>
          <w:p w:rsidR="00286663" w:rsidRDefault="00DD709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  <w:tr w:rsidR="00286663" w:rsidTr="00DD7095">
        <w:trPr>
          <w:trHeight w:val="281"/>
        </w:trPr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6663" w:rsidRDefault="00286663">
            <w:pPr>
              <w:rPr>
                <w:sz w:val="24"/>
              </w:rPr>
            </w:pPr>
          </w:p>
        </w:tc>
        <w:tc>
          <w:tcPr>
            <w:tcW w:w="5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6663" w:rsidRDefault="00DD709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286663" w:rsidRDefault="00DD709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6663" w:rsidRDefault="00286663">
            <w:pPr>
              <w:rPr>
                <w:sz w:val="24"/>
              </w:rPr>
            </w:pPr>
          </w:p>
        </w:tc>
      </w:tr>
      <w:tr w:rsidR="00286663" w:rsidTr="00DD7095">
        <w:trPr>
          <w:trHeight w:val="281"/>
        </w:trPr>
        <w:tc>
          <w:tcPr>
            <w:tcW w:w="11575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663" w:rsidRDefault="00DD709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86663" w:rsidTr="00DD7095">
        <w:trPr>
          <w:trHeight w:val="281"/>
        </w:trPr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6663" w:rsidRDefault="00DD709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5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6663" w:rsidRDefault="00DD709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0418689C" wp14:editId="3771E990">
                  <wp:extent cx="2857500" cy="9525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663" w:rsidRDefault="00DD709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Ивакина Марина Валерьевна</w:t>
            </w:r>
          </w:p>
          <w:p w:rsidR="00286663" w:rsidRDefault="00DD709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  <w:tr w:rsidR="00286663" w:rsidTr="00DD7095">
        <w:trPr>
          <w:trHeight w:val="281"/>
        </w:trPr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6663" w:rsidRDefault="00286663">
            <w:pPr>
              <w:rPr>
                <w:sz w:val="24"/>
              </w:rPr>
            </w:pPr>
          </w:p>
        </w:tc>
        <w:tc>
          <w:tcPr>
            <w:tcW w:w="5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6663" w:rsidRDefault="00DD709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286663" w:rsidRDefault="00DD709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6663" w:rsidRDefault="00286663">
            <w:pPr>
              <w:rPr>
                <w:sz w:val="24"/>
              </w:rPr>
            </w:pPr>
          </w:p>
        </w:tc>
      </w:tr>
    </w:tbl>
    <w:p w:rsidR="00286663" w:rsidRDefault="00286663" w:rsidP="00DD7095"/>
    <w:sectPr w:rsidR="00286663">
      <w:pgSz w:w="12240" w:h="15840"/>
      <w:pgMar w:top="1133" w:right="850" w:bottom="1133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B36A85"/>
    <w:multiLevelType w:val="hybridMultilevel"/>
    <w:tmpl w:val="ABA8F472"/>
    <w:lvl w:ilvl="0" w:tplc="32A24D88">
      <w:start w:val="1"/>
      <w:numFmt w:val="decimal"/>
      <w:lvlText w:val="%1."/>
      <w:lvlJc w:val="left"/>
      <w:pPr>
        <w:ind w:left="720" w:hanging="360"/>
      </w:pPr>
    </w:lvl>
    <w:lvl w:ilvl="1" w:tplc="67816A32">
      <w:start w:val="1"/>
      <w:numFmt w:val="decimal"/>
      <w:lvlText w:val="%2."/>
      <w:lvlJc w:val="left"/>
      <w:pPr>
        <w:ind w:left="1440" w:hanging="360"/>
      </w:pPr>
    </w:lvl>
    <w:lvl w:ilvl="2" w:tplc="3F8B5AC9">
      <w:start w:val="1"/>
      <w:numFmt w:val="decimal"/>
      <w:lvlText w:val="%3."/>
      <w:lvlJc w:val="left"/>
      <w:pPr>
        <w:ind w:left="2160" w:hanging="360"/>
      </w:pPr>
    </w:lvl>
    <w:lvl w:ilvl="3" w:tplc="091FF732">
      <w:start w:val="1"/>
      <w:numFmt w:val="decimal"/>
      <w:lvlText w:val="%4."/>
      <w:lvlJc w:val="left"/>
      <w:pPr>
        <w:ind w:left="2880" w:hanging="360"/>
      </w:pPr>
    </w:lvl>
    <w:lvl w:ilvl="4" w:tplc="0655DD08">
      <w:start w:val="1"/>
      <w:numFmt w:val="decimal"/>
      <w:lvlText w:val="%5."/>
      <w:lvlJc w:val="left"/>
      <w:pPr>
        <w:ind w:left="3600" w:hanging="360"/>
      </w:pPr>
    </w:lvl>
    <w:lvl w:ilvl="5" w:tplc="67EF22AE">
      <w:start w:val="1"/>
      <w:numFmt w:val="decimal"/>
      <w:lvlText w:val="%6."/>
      <w:lvlJc w:val="left"/>
      <w:pPr>
        <w:ind w:left="4320" w:hanging="360"/>
      </w:pPr>
    </w:lvl>
    <w:lvl w:ilvl="6" w:tplc="06D8A7A6">
      <w:start w:val="1"/>
      <w:numFmt w:val="decimal"/>
      <w:lvlText w:val="%7."/>
      <w:lvlJc w:val="left"/>
      <w:pPr>
        <w:ind w:left="5040" w:hanging="360"/>
      </w:pPr>
    </w:lvl>
    <w:lvl w:ilvl="7" w:tplc="7AB97F26">
      <w:start w:val="1"/>
      <w:numFmt w:val="decimal"/>
      <w:lvlText w:val="%8."/>
      <w:lvlJc w:val="left"/>
      <w:pPr>
        <w:ind w:left="5760" w:hanging="360"/>
      </w:pPr>
    </w:lvl>
    <w:lvl w:ilvl="8" w:tplc="72DBF78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663"/>
    <w:rsid w:val="00286663"/>
    <w:rsid w:val="00DD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D70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70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D70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70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B624AEAE96FBD31B96553E594651492B06B8F89F2781D31E965F991CA5A61769B62AF0D5E9A04160EC3BCB7592762DC15EA827AFBDDD1TB7DJ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inance.lenobl.ru/programm/meropriiatiia/metod_sovet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7EAADF"/>
      </a:accent1>
      <a:accent2>
        <a:srgbClr val="EA726F"/>
      </a:accent2>
      <a:accent3>
        <a:srgbClr val="A9D774"/>
      </a:accent3>
      <a:accent4>
        <a:srgbClr val="A78BC9"/>
      </a:accent4>
      <a:accent5>
        <a:srgbClr val="78CBE1"/>
      </a:accent5>
      <a:accent6>
        <a:srgbClr val="FCBF8C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6080</Words>
  <Characters>34662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Сидоров Георгий Александрович</dc:creator>
  <cp:lastModifiedBy>Сидоров Георгий Александрович</cp:lastModifiedBy>
  <cp:revision>2</cp:revision>
  <dcterms:created xsi:type="dcterms:W3CDTF">2026-03-20T12:36:00Z</dcterms:created>
  <dcterms:modified xsi:type="dcterms:W3CDTF">2026-03-20T12:36:00Z</dcterms:modified>
</cp:coreProperties>
</file>