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61" w:rsidRPr="00E86126" w:rsidRDefault="00E86126" w:rsidP="00E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E86126">
        <w:rPr>
          <w:rFonts w:ascii="Times New Roman" w:eastAsiaTheme="minorHAnsi" w:hAnsi="Times New Roman"/>
          <w:b/>
          <w:bCs/>
          <w:sz w:val="24"/>
          <w:szCs w:val="24"/>
        </w:rPr>
        <w:t>орядок</w:t>
      </w:r>
    </w:p>
    <w:p w:rsidR="00C56961" w:rsidRPr="00E86126" w:rsidRDefault="00E86126" w:rsidP="00E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86126">
        <w:rPr>
          <w:rFonts w:ascii="Times New Roman" w:eastAsiaTheme="minorHAnsi" w:hAnsi="Times New Roman"/>
          <w:b/>
          <w:bCs/>
          <w:sz w:val="24"/>
          <w:szCs w:val="24"/>
        </w:rPr>
        <w:t xml:space="preserve">предоставления и распределения субсидии из областного бюджета </w:t>
      </w:r>
      <w:r>
        <w:rPr>
          <w:rFonts w:ascii="Times New Roman" w:eastAsiaTheme="minorHAnsi" w:hAnsi="Times New Roman"/>
          <w:b/>
          <w:bCs/>
          <w:sz w:val="24"/>
          <w:szCs w:val="24"/>
        </w:rPr>
        <w:t>Л</w:t>
      </w:r>
      <w:r w:rsidRPr="00E86126">
        <w:rPr>
          <w:rFonts w:ascii="Times New Roman" w:eastAsiaTheme="minorHAnsi" w:hAnsi="Times New Roman"/>
          <w:b/>
          <w:bCs/>
          <w:sz w:val="24"/>
          <w:szCs w:val="24"/>
        </w:rPr>
        <w:t xml:space="preserve">енинградской области бюджетам муниципальных образований </w:t>
      </w:r>
      <w:r>
        <w:rPr>
          <w:rFonts w:ascii="Times New Roman" w:eastAsiaTheme="minorHAnsi" w:hAnsi="Times New Roman"/>
          <w:b/>
          <w:bCs/>
          <w:sz w:val="24"/>
          <w:szCs w:val="24"/>
        </w:rPr>
        <w:t>Л</w:t>
      </w:r>
      <w:r w:rsidRPr="00E86126">
        <w:rPr>
          <w:rFonts w:ascii="Times New Roman" w:eastAsiaTheme="minorHAnsi" w:hAnsi="Times New Roman"/>
          <w:b/>
          <w:bCs/>
          <w:sz w:val="24"/>
          <w:szCs w:val="24"/>
        </w:rPr>
        <w:t>енинградской области на укрепление материально-технической базы организаций дополнительного образования</w:t>
      </w:r>
    </w:p>
    <w:p w:rsidR="00C56961" w:rsidRPr="00E86126" w:rsidRDefault="00C56961" w:rsidP="00E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A6291C" w:rsidRPr="00E86126" w:rsidRDefault="00A6291C" w:rsidP="00E8612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1.1. Настоящий Порядок устанавливает цели, условия предоставления и распределения субсидии из областного бюджета Ленинградской области (далее - областной бюджет) бюджетам муниципальных районов (муниципального округа, городского округа) Ленинградской области (далее - муниципальные образования) на укрепление материально-технической базы организаций дополнительного образования в рамках государственной программы Ленинградской области "Современное образование Ленинградской области" (далее - субсидия).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общего и профессионального образования Ленинградской области (далее - Комитет).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 xml:space="preserve">Субсидии предоставляются на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в соответствии с </w:t>
      </w:r>
      <w:hyperlink r:id="rId5">
        <w:r w:rsidRPr="00E86126">
          <w:rPr>
            <w:rFonts w:ascii="Times New Roman" w:hAnsi="Times New Roman" w:cs="Times New Roman"/>
            <w:sz w:val="24"/>
            <w:szCs w:val="24"/>
          </w:rPr>
          <w:t>пунктом 11 части 1 статьи 15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E86126">
          <w:rPr>
            <w:rFonts w:ascii="Times New Roman" w:hAnsi="Times New Roman" w:cs="Times New Roman"/>
            <w:sz w:val="24"/>
            <w:szCs w:val="24"/>
          </w:rPr>
          <w:t>пунктом 13 части 1 статьи 16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2. Цели и условия предоставления субсидии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A6291C" w:rsidRPr="00E86126" w:rsidRDefault="00A6291C" w:rsidP="00E861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образованиям, критерии отбора муниципальных образований</w:t>
      </w:r>
    </w:p>
    <w:p w:rsidR="00A6291C" w:rsidRPr="00E86126" w:rsidRDefault="00A6291C" w:rsidP="00E861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для предоставления субсидии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2.1. Субсидия предоставляется в целях развития системы дополнительного образования и научно-технического творчества.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Результатами использования субсидии являются: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количество муниципальных образовательных организаций, реализующих инновационную программу развития дополнительного образования детей;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количество муниципальных образовательных организаций, в которых проведены ремонтные работы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>или) мероприятия, обеспечивающие комплексную безопасность образовательного процесса.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Субсидии предоставляются в целях: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приобретения дополнительного оборудования, средств обучения, компьютерной техники, расходных материалов;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издания и публикации промежуточных и итоговых материалов инновационной деятельности;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участия во всероссийских научно-методических мероприятиях;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оплаты труда научных руководителей;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повышения квалификации педагогических работников организаций дополнительного образования, в том числе стажировки;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проведения текущего и капитального ремонта конструкций, помещений, инженерных систем, спортивных площадок и сооружений;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обеспечения комплексной безопасности организаций дополнительного образования, в том числе монтажа систем охранной автоматической пожарной сигнализации, подключения (вывод сигналов) объектов охранно-пожарных сигнализаций на пульт ближайшей пожарной части, монтажа систем видеонаблюдения, устройства наружного освещения и ограждения территорий.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субсидии, </w:t>
      </w:r>
      <w:r w:rsidRPr="00E86126">
        <w:rPr>
          <w:rFonts w:ascii="Times New Roman" w:hAnsi="Times New Roman" w:cs="Times New Roman"/>
          <w:sz w:val="24"/>
          <w:szCs w:val="24"/>
        </w:rPr>
        <w:lastRenderedPageBreak/>
        <w:t>заключаемом между Комитетом и администрацией муниципального образования (далее - соглашение).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2.2. Условия предоставления субсидии устанавливаются в соответствии с </w:t>
      </w:r>
      <w:hyperlink r:id="rId7">
        <w:r w:rsidRPr="00E86126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2.3. Соглашение заключается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</w:t>
      </w:r>
      <w:hyperlink r:id="rId8">
        <w:r w:rsidRPr="00E86126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E86126">
          <w:rPr>
            <w:rFonts w:ascii="Times New Roman" w:hAnsi="Times New Roman" w:cs="Times New Roman"/>
            <w:sz w:val="24"/>
            <w:szCs w:val="24"/>
          </w:rPr>
          <w:t>4.2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44"/>
      <w:bookmarkEnd w:id="0"/>
      <w:r w:rsidRPr="00E86126">
        <w:rPr>
          <w:rFonts w:ascii="Times New Roman" w:hAnsi="Times New Roman" w:cs="Times New Roman"/>
          <w:sz w:val="24"/>
          <w:szCs w:val="24"/>
        </w:rPr>
        <w:t>2.4. Критериями, которым должны соответствовать муниципальные образования для предоставления субсидии, являются: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5"/>
      <w:bookmarkEnd w:id="1"/>
      <w:r w:rsidRPr="00E86126">
        <w:rPr>
          <w:rFonts w:ascii="Times New Roman" w:hAnsi="Times New Roman" w:cs="Times New Roman"/>
          <w:sz w:val="24"/>
          <w:szCs w:val="24"/>
        </w:rPr>
        <w:t xml:space="preserve">а) наличие в системе муниципального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образования разработанной инновационной программы развития дополнительного образования детей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и наличие образовательной организации, реализующей инновационную программу развития дополнительного образования детей;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б) наличие потребности образовательной организации в создании материально-технической базы для организации инновационной деятельности по апробации инновационной программы развития дополнительного образования детей;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7"/>
      <w:bookmarkEnd w:id="2"/>
      <w:r w:rsidRPr="00E86126">
        <w:rPr>
          <w:rFonts w:ascii="Times New Roman" w:hAnsi="Times New Roman" w:cs="Times New Roman"/>
          <w:sz w:val="24"/>
          <w:szCs w:val="24"/>
        </w:rPr>
        <w:t>в) наличие организационных условий и необходимого кадрового обеспечения для организации инновационной деятельности по апробации инновационной программы развития дополнительного образования детей;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г) наличие потребности в проведении ремонтных работ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>или) мероприятий, обеспечивающих комплексную безопасность образовательного процесса, при условии, что расчетная бюджетная обеспеченность муниципального района (муниципального округа, городского округа) до выравнивания составляет менее 1,1000;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д) наличие муниципальной программы, включающей мероприятия, указанные в </w:t>
      </w:r>
      <w:hyperlink w:anchor="P1445">
        <w:r w:rsidRPr="00E86126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47">
        <w:r w:rsidRPr="00E86126">
          <w:rPr>
            <w:rFonts w:ascii="Times New Roman" w:hAnsi="Times New Roman" w:cs="Times New Roman"/>
            <w:sz w:val="24"/>
            <w:szCs w:val="24"/>
          </w:rPr>
          <w:t>"в"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3. Порядок отбора, распределения и предоставления субсидии</w:t>
      </w:r>
    </w:p>
    <w:p w:rsidR="00A6291C" w:rsidRPr="00E86126" w:rsidRDefault="00A6291C" w:rsidP="00E861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муниципальным образованиям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5"/>
      <w:bookmarkEnd w:id="3"/>
      <w:r w:rsidRPr="00E86126">
        <w:rPr>
          <w:rFonts w:ascii="Times New Roman" w:hAnsi="Times New Roman" w:cs="Times New Roman"/>
          <w:sz w:val="24"/>
          <w:szCs w:val="24"/>
        </w:rPr>
        <w:t>3.1. Комитет не менее чем за 10 рабочих дней до начала приема заявок информирует в письменном виде администрации муниципальных образований о сроках приема заявок на предоставление субсидии (далее - заявка).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6"/>
      <w:bookmarkEnd w:id="4"/>
      <w:r w:rsidRPr="00E86126">
        <w:rPr>
          <w:rFonts w:ascii="Times New Roman" w:hAnsi="Times New Roman" w:cs="Times New Roman"/>
          <w:sz w:val="24"/>
          <w:szCs w:val="24"/>
        </w:rPr>
        <w:t>Даты начала и окончания приема заявок устанавливаются правовым актом Комитета.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Муниципальные образования в установленные сроки представляют в Комитет заявку по форме, утвержденной нормативным правовым актом Комитета, с приложением следующих документов: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расчет размера субсидии по форме, утвержденной правовым актом Комитета;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копия правового акта муниципального образования об утверждении перечня мероприятий, в целях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за подписью руководителя муниципального органа управления образованием.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3.2. Комитет в течение трех рабочих дней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заявки осуществляет проверку заявки на соответствие </w:t>
      </w:r>
      <w:hyperlink w:anchor="P1455">
        <w:r w:rsidRPr="00E86126">
          <w:rPr>
            <w:rFonts w:ascii="Times New Roman" w:hAnsi="Times New Roman" w:cs="Times New Roman"/>
            <w:sz w:val="24"/>
            <w:szCs w:val="24"/>
          </w:rPr>
          <w:t>пункту 3.1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Заявки, не соответствующие указанным требованиям, к рассмотрению не принимаются. Замечания Комитета могут быть устранены в пределах срока, определяемого в соответствии с </w:t>
      </w:r>
      <w:hyperlink w:anchor="P1455">
        <w:r w:rsidRPr="00E86126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62"/>
      <w:bookmarkEnd w:id="5"/>
      <w:r w:rsidRPr="00E86126">
        <w:rPr>
          <w:rFonts w:ascii="Times New Roman" w:hAnsi="Times New Roman" w:cs="Times New Roman"/>
          <w:sz w:val="24"/>
          <w:szCs w:val="24"/>
        </w:rPr>
        <w:t xml:space="preserve">3.3. Комитет не позднее 15 рабочих дней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приема заявок, установленной в соответствии с </w:t>
      </w:r>
      <w:hyperlink w:anchor="P1456">
        <w:r w:rsidRPr="00E86126">
          <w:rPr>
            <w:rFonts w:ascii="Times New Roman" w:hAnsi="Times New Roman" w:cs="Times New Roman"/>
            <w:sz w:val="24"/>
            <w:szCs w:val="24"/>
          </w:rPr>
          <w:t>абзацем вторым пункта 3.1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рассматривает заявки и принимает решение об отборе заявок, соответствующих критериям отбора, установленным </w:t>
      </w:r>
      <w:hyperlink w:anchor="P1444">
        <w:r w:rsidRPr="00E86126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lastRenderedPageBreak/>
        <w:t>3.4. Отбор муниципальных образований для предоставления субсидии осуществляется на очередной финансовый год и на плановый период.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3.5. Комитет на основании решения, принимаемого в соответствии с </w:t>
      </w:r>
      <w:hyperlink w:anchor="P1462">
        <w:r w:rsidRPr="00E86126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3.6. Распределение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A6291C" w:rsidRPr="00E86126" w:rsidRDefault="00A6291C" w:rsidP="00E86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РОС</w:t>
      </w:r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УС</w:t>
      </w:r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>,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где: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устанавливаемый распоряжением Правительства Ленинградской области;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E8612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= S1i + S2i,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где: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S1i - размер средств на реализацию программы развития дополнительного образования детей, на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которой осуществляется инновационная деятельность, определяемый по формуле: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6126">
        <w:rPr>
          <w:rFonts w:ascii="Times New Roman" w:hAnsi="Times New Roman" w:cs="Times New Roman"/>
          <w:sz w:val="24"/>
          <w:szCs w:val="24"/>
          <w:lang w:val="en-US"/>
        </w:rPr>
        <w:t>S1i = Fi x m + Ii x N,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где: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- количество инновационных площадок по интеграции программ внеурочной деятельности и дополнительного образования, реализующих инновационные технологии научно-технической направленности;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m - объем средств на одну инновационную площадку по интеграции программ внеурочной деятельности и дополнительного образования, реализующую инновационные технологии научно-технической направленности;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12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- количество инновационных площадок по апробации модели эффективного взаимодействия с негосударственным сектором, реализующих поиск и предоставление перспективных инициативных проектов в сфере дополнительного образования;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N - объем средств на одну инновационную площадку по апробации модели эффективного взаимодействия с негосударственным сектором, реализующую поиск и предоставление перспективных инициативных проектов в сфере дополнительного образования;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S2i - размер средств на ремонтные работы в образовательных организациях, реализующих программы дополнительного образования, определяемый по формуле: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S2i = R x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86126">
        <w:rPr>
          <w:rFonts w:ascii="Times New Roman" w:hAnsi="Times New Roman" w:cs="Times New Roman"/>
          <w:sz w:val="24"/>
          <w:szCs w:val="24"/>
        </w:rPr>
        <w:t>,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где: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R - размер средств, предусмотренных на укрепление материально-технической базы муниципальных организаций дополнительного образования детей, на одного обучающегося;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6126">
        <w:rPr>
          <w:rFonts w:ascii="Times New Roman" w:hAnsi="Times New Roman" w:cs="Times New Roman"/>
          <w:sz w:val="24"/>
          <w:szCs w:val="24"/>
        </w:rPr>
        <w:t>Чi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- численность обучающихся в организациях дополнительного образования i-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(в соответствии с данными по форме N 1-ДО (сводная) "Сведения об учреждениях дополнительного образования детей" федерального статистического наблюдения) по состоянию на 1 января предшествующего планируемому периода.</w:t>
      </w:r>
      <w:proofErr w:type="gramEnd"/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3.7.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>или) проекта о внесении изменений в областной закон об областном бюджете Ленинградской области.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Распределение субсидии бюджетам муниципальных образований утверждается областным </w:t>
      </w:r>
      <w:r w:rsidRPr="00E86126">
        <w:rPr>
          <w:rFonts w:ascii="Times New Roman" w:hAnsi="Times New Roman" w:cs="Times New Roman"/>
          <w:sz w:val="24"/>
          <w:szCs w:val="24"/>
        </w:rPr>
        <w:lastRenderedPageBreak/>
        <w:t>законом об областном бюджете Ленинградской области на очередной финансовый год и на плановый период.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0">
        <w:r w:rsidRPr="00E86126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3.9. Утвержденный для муниципального образования объем субсидии может быть пересмотрен: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при уточнении планового общего объема расходов, необходимого для достижения значений результатов использования субсидии;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при увеличении общего объема бюджетных ассигнований областного бюджета, предусмотренного для предоставления субсидии;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при распределении нераспределенного объема субсидии;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при отсутствии соглашения, заключенного в соответствии с </w:t>
      </w:r>
      <w:hyperlink r:id="rId11">
        <w:r w:rsidRPr="00E86126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2">
        <w:r w:rsidRPr="00E86126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E86126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областного закона от 14 октября 2019 года N 75-оз "О межбюджетных отношениях в Ленинградской области".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 Порядок расходования субсидии</w:t>
      </w:r>
    </w:p>
    <w:p w:rsidR="00A6291C" w:rsidRPr="00E86126" w:rsidRDefault="00A6291C" w:rsidP="00E861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Соглашение заключается на основании утвержденного распределения субсидии между муниципальными образованиями в срок, установленный </w:t>
      </w:r>
      <w:hyperlink r:id="rId14">
        <w:r w:rsidRPr="00E86126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4.2. Муниципальное образование при заключении соглашения представляет документы в соответствии с </w:t>
      </w:r>
      <w:hyperlink r:id="rId15">
        <w:r w:rsidRPr="00E86126">
          <w:rPr>
            <w:rFonts w:ascii="Times New Roman" w:hAnsi="Times New Roman" w:cs="Times New Roman"/>
            <w:sz w:val="24"/>
            <w:szCs w:val="24"/>
          </w:rPr>
          <w:t>пунктом 4.4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Субсидия перечисляется исходя из потребности в осуществлении расходов.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устанавливается в соглашении.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E86126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4.5. Принятие решения о подтверждении потребности в текущем году в остатках субсидии, предоставленных в отчетном году, допускается однократно в течение срока действия соглашения.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4.6. Комитет обеспечивает соблюдение муниципальными образованиями целей, порядка и </w:t>
      </w:r>
      <w:r w:rsidRPr="00E86126">
        <w:rPr>
          <w:rFonts w:ascii="Times New Roman" w:hAnsi="Times New Roman" w:cs="Times New Roman"/>
          <w:sz w:val="24"/>
          <w:szCs w:val="24"/>
        </w:rPr>
        <w:lastRenderedPageBreak/>
        <w:t>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1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6126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A6291C" w:rsidRPr="00E86126" w:rsidRDefault="00A6291C" w:rsidP="00E8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>4.7.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D37CB0" w:rsidRPr="00E86126" w:rsidRDefault="00A6291C" w:rsidP="00E8612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86126">
        <w:rPr>
          <w:rFonts w:ascii="Times New Roman" w:hAnsi="Times New Roman" w:cs="Times New Roman"/>
          <w:sz w:val="24"/>
          <w:szCs w:val="24"/>
        </w:rPr>
        <w:t xml:space="preserve">4.8. В случае </w:t>
      </w:r>
      <w:proofErr w:type="spellStart"/>
      <w:r w:rsidRPr="00E8612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86126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6">
        <w:r w:rsidRPr="00E86126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E86126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6" w:name="_GoBack"/>
      <w:bookmarkEnd w:id="6"/>
    </w:p>
    <w:sectPr w:rsidR="00D37CB0" w:rsidRPr="00E86126" w:rsidSect="00E8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40"/>
    <w:rsid w:val="000A2E40"/>
    <w:rsid w:val="006E7EF4"/>
    <w:rsid w:val="00A6291C"/>
    <w:rsid w:val="00C56961"/>
    <w:rsid w:val="00D37CB0"/>
    <w:rsid w:val="00E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4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4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636" TargetMode="External"/><Relationship Id="rId13" Type="http://schemas.openxmlformats.org/officeDocument/2006/relationships/hyperlink" Target="https://login.consultant.ru/link/?req=doc&amp;base=SPB&amp;n=313152&amp;dst=1000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13152&amp;dst=10007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10" TargetMode="External"/><Relationship Id="rId11" Type="http://schemas.openxmlformats.org/officeDocument/2006/relationships/hyperlink" Target="https://login.consultant.ru/link/?req=doc&amp;base=SPB&amp;n=308870&amp;dst=100641" TargetMode="External"/><Relationship Id="rId5" Type="http://schemas.openxmlformats.org/officeDocument/2006/relationships/hyperlink" Target="https://login.consultant.ru/link/?req=doc&amp;base=LAW&amp;n=501480&amp;dst=101309" TargetMode="External"/><Relationship Id="rId15" Type="http://schemas.openxmlformats.org/officeDocument/2006/relationships/hyperlink" Target="https://login.consultant.ru/link/?req=doc&amp;base=SPB&amp;n=308870&amp;dst=100538" TargetMode="External"/><Relationship Id="rId10" Type="http://schemas.openxmlformats.org/officeDocument/2006/relationships/hyperlink" Target="https://login.consultant.ru/link/?req=doc&amp;base=SPB&amp;n=308870&amp;dst=100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23" TargetMode="External"/><Relationship Id="rId14" Type="http://schemas.openxmlformats.org/officeDocument/2006/relationships/hyperlink" Target="https://login.consultant.ru/link/?req=doc&amp;base=SPB&amp;n=308870&amp;dst=10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2021-07-26T08:04:00Z</dcterms:created>
  <dcterms:modified xsi:type="dcterms:W3CDTF">2025-08-19T14:39:00Z</dcterms:modified>
</cp:coreProperties>
</file>