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DE" w:rsidRPr="00586246" w:rsidRDefault="00586246" w:rsidP="0058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246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86246" w:rsidRPr="00586246" w:rsidRDefault="00586246" w:rsidP="0058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246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и распределения субсидии из областного бюджета </w:t>
      </w:r>
    </w:p>
    <w:p w:rsidR="00586246" w:rsidRPr="00586246" w:rsidRDefault="00586246" w:rsidP="0058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246">
        <w:rPr>
          <w:rFonts w:ascii="Times New Roman" w:hAnsi="Times New Roman" w:cs="Times New Roman"/>
          <w:b/>
          <w:bCs/>
          <w:sz w:val="24"/>
          <w:szCs w:val="24"/>
        </w:rPr>
        <w:t xml:space="preserve">Ленинградской области бюджетам муниципальных образований </w:t>
      </w:r>
    </w:p>
    <w:p w:rsidR="000E17DE" w:rsidRPr="00586246" w:rsidRDefault="00586246" w:rsidP="0058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246">
        <w:rPr>
          <w:rFonts w:ascii="Times New Roman" w:hAnsi="Times New Roman" w:cs="Times New Roman"/>
          <w:b/>
          <w:bCs/>
          <w:sz w:val="24"/>
          <w:szCs w:val="24"/>
        </w:rPr>
        <w:t xml:space="preserve">Ленинградской области на приобретение </w:t>
      </w:r>
      <w:proofErr w:type="gramStart"/>
      <w:r w:rsidRPr="00586246">
        <w:rPr>
          <w:rFonts w:ascii="Times New Roman" w:hAnsi="Times New Roman" w:cs="Times New Roman"/>
          <w:b/>
          <w:bCs/>
          <w:sz w:val="24"/>
          <w:szCs w:val="24"/>
        </w:rPr>
        <w:t>автономных</w:t>
      </w:r>
      <w:proofErr w:type="gramEnd"/>
    </w:p>
    <w:p w:rsidR="000E17DE" w:rsidRPr="00586246" w:rsidRDefault="00586246" w:rsidP="0058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246">
        <w:rPr>
          <w:rFonts w:ascii="Times New Roman" w:hAnsi="Times New Roman" w:cs="Times New Roman"/>
          <w:b/>
          <w:bCs/>
          <w:sz w:val="24"/>
          <w:szCs w:val="24"/>
        </w:rPr>
        <w:t>источников электроснабжения (</w:t>
      </w:r>
      <w:proofErr w:type="gramStart"/>
      <w:r w:rsidRPr="00586246">
        <w:rPr>
          <w:rFonts w:ascii="Times New Roman" w:hAnsi="Times New Roman" w:cs="Times New Roman"/>
          <w:b/>
          <w:bCs/>
          <w:sz w:val="24"/>
          <w:szCs w:val="24"/>
        </w:rPr>
        <w:t>дизель-генераторов</w:t>
      </w:r>
      <w:proofErr w:type="gramEnd"/>
      <w:r w:rsidRPr="0058624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E17DE" w:rsidRPr="00586246" w:rsidRDefault="00586246" w:rsidP="0058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246">
        <w:rPr>
          <w:rFonts w:ascii="Times New Roman" w:hAnsi="Times New Roman" w:cs="Times New Roman"/>
          <w:b/>
          <w:bCs/>
          <w:sz w:val="24"/>
          <w:szCs w:val="24"/>
        </w:rPr>
        <w:t>для резервного энергоснабжения объектов жизнеобеспечения</w:t>
      </w:r>
    </w:p>
    <w:p w:rsidR="000E17DE" w:rsidRPr="00586246" w:rsidRDefault="00586246" w:rsidP="0058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246">
        <w:rPr>
          <w:rFonts w:ascii="Times New Roman" w:hAnsi="Times New Roman" w:cs="Times New Roman"/>
          <w:b/>
          <w:bCs/>
          <w:sz w:val="24"/>
          <w:szCs w:val="24"/>
        </w:rPr>
        <w:t>населенных пунктов Ленинградской области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1.1. Настоящий Порядок устанавливает цели и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 (далее - муниципальные образования) на приобретение автономных источников электроснабжения (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дизель-генераторов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>) для резервного электроснабжения объектов жизнеобеспечения населенных пунктов Ленинградской области (далее - субсидия).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1.2. В целях настоящего Порядка под объектом жизнеобеспечения понимается объект, находящийся в собственности муниципального образования, на котором сконцентрированы жизненно важные материальные финансовые средства и услуги, сгруппированные по функциональному назначению и используемые для удовлетворения жизненно необходимых потребностей населения.</w:t>
      </w:r>
      <w:bookmarkStart w:id="0" w:name="_GoBack"/>
      <w:bookmarkEnd w:id="0"/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1.3. Предоставление субсидии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топливно-энергетическому комплексу Ленинградской области (далее - Комитет).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1.4. 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Субсидия предоставляется на </w:t>
      </w: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софинансирование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расходных обязательств бюджетов муниципальных образований, возникающих при выполнении полномочий органов местного самоуправления по вопросам местного значения - организация электроснабжения населения, в соответствии с </w:t>
      </w:r>
      <w:hyperlink r:id="rId5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пунктом 4 части 1 статьи 14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6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пунктом 4 части 1 статьи 16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2. Цели и условия предоставления субсидии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2.1. Субсидия предоставляется муниципальным образованиям в целях оснащения объектов жизнеобеспечения, находящихся в муниципальной собственности и не имеющих требуемой категории надежности электроснабжения, автономными резервными источниками электроснабжения (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дизель-генераторами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>).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Результатом использования субсидии является количество закупленных автономных резервных источников электроснабжения (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дизель-генераторов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>).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Значения результатов использования субсидии определяются в соответствии с заявками муниципальных образований.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Детализированные требования к достижению значений результатов использования субсидии устанавливаются в соглашении о предоставлении субсидии, которое заключается между Комитетом и администрацией муниципального образования (далее - Соглашение).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2.2. Условия предоставления субсидии устанавливаются в соответствии с </w:t>
      </w:r>
      <w:hyperlink r:id="rId7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пунктом 2.7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lastRenderedPageBreak/>
        <w:t>3. Порядок отбора муниципальных образований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и распределения субсидии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3.1. Отбор муниципальных образований для предоставления субсидии осуществляется на конкурсной основе путем оценки заявок, поданных муниципальными образованиями. Отбор осуществляется в году, предшествующем году предоставления субсидии.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3.2. Критерием, которому должны соответствовать муниципальные образования для допуска к оценке заявок муниципальных образований, является наличие объектов (объекта) жизнеобеспечения, находящихся в муниципальной собственности и не имеющих требуемой категории надежности электроснабжения.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В случае если муниципальное образование не соответствует критерию, указанному в настоящем пункте, муниципальное образование не допускается к оценке заявок.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3.3. Отбор муниципальных образований осуществляется конкурсной комиссией по отбору муниципальных образований для предоставления субсидии (далее - Конкурсная комиссия).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Положение о работе Конкурсной комисс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ии и ее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состав утверждаются правовым актом Комитета.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3.4. Комитет в письменной форме информирует администрации муниципальных образований о дате размещения извещения о проведении отбора муниципальных образований (далее - извещение) на официальном сайте Комитета (</w:t>
      </w:r>
      <w:hyperlink r:id="rId8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www.power.lenobl.ru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>) в информационно-телекоммуникационной сети "Интернет" (далее - Сайт).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Прием заявок от муниципальных образований осуществляется Комитетом в течение 15 рабочих дней со дня размещения на Сайте извещения. Срок приема заявок определяется в извещении.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Рассмотрение Комитетом заявок и проведение заседания Конкурсной комиссии осуществляются в срок не позднее 10 рабочих дней 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с даты окончания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приема заявок.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34"/>
      <w:bookmarkEnd w:id="1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3.5. </w:t>
      </w:r>
      <w:hyperlink r:id="rId9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Заявка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подается муниципальным образованием по форме согласно приложению 1 к настоящему Порядку.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Заявка направляется в электронном виде через систему электронного документооборота Ленинградской области или на официальную почту Комитета (tek@lenreg.ru).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К заявке прилагаются следующие документы: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а) расчет стоимости дизель-генераторных установок, произведенный в соответствии с требованиями Федерального </w:t>
      </w:r>
      <w:hyperlink r:id="rId10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закона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б) </w:t>
      </w:r>
      <w:hyperlink r:id="rId11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объектов жизнеобеспечения, находящихся в муниципальной собственности, по форме согласно приложению 2 к настоящему Порядку;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в) сведения территориально-сетевой организации о фактической категории надежности объектов жизнеобеспечения;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г) </w:t>
      </w:r>
      <w:hyperlink r:id="rId12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и характеристика автономных резервных источников электроснабжения, находящихся в муниципальной собственности, от 20 кВт и более по форме согласно приложению 3 к настоящему Порядку;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д) сведения эксплуатирующей организации объекта жизнеобеспечения о необходимой номинальной мощности, исполнении (всепогодный кожух, контейнер, на шасси или стационарный, степень автоматического ввода резерва), наличии места хранения, содержания и эксплуатации автономного резервного источника электроснабжения (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дизель-генератора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>);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е) справка территориально-сетевой организации о количестве и длительности отключений питающего источника электроснабжения (фидер, линия электропередачи, трансформаторная подстанция) на объекте жизнеобеспечения на момент подачи заявки муниципальным образованием (справка должна содержать информацию не менее чем за два предшествовавших года).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lastRenderedPageBreak/>
        <w:t>3.6. Датой представления заявки является дата регистрации заявки в Комитете. Заявки, представленные после истечения срока приема заявок, к рассмотрению не принимаются.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3.7. Заявки, представленные муниципальными образованиями для участия в отборе, не возвращаются.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3.8. Ответственность за достоверность представляемых сведений и документов несут администрации муниципальных образований.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3.9. Заявки муниципальных образований оцениваются Конкурсной комиссией в соответствии с </w:t>
      </w:r>
      <w:hyperlink r:id="rId13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критериями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оценки заявок согласно приложению 4 к настоящему Порядку.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3.10. Основанием для отклонения заявки является представление муниципальным образованием документов, не соответствующих требованиям, установленным </w:t>
      </w:r>
      <w:hyperlink w:anchor="Par34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пунктом 3.5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>или) представление документов не в полном объеме.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3.11. Победителями признаются муниципальные образования, набравшие в сумме наибольшее количество баллов (наибольшая сводная оценка заявок).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3.12. Распределение субсидии между муниципальными образованиями осуществляется исходя из заявок муниципальных образований по формуле: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proofErr w:type="spellEnd"/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ЗС</w:t>
      </w:r>
      <w:r w:rsidRPr="00586246"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x </w:t>
      </w: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УС</w:t>
      </w:r>
      <w:r w:rsidRPr="00586246"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>,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proofErr w:type="spellEnd"/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- объем субсидии бюджету i-</w:t>
      </w: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го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образования;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ЗС</w:t>
      </w:r>
      <w:r w:rsidRPr="00586246"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- плановый общий объем расходов на исполнение </w:t>
      </w: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софинансируемых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обязательств в соответствии с заявкой (заявками) i-</w:t>
      </w: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го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образования, отобранной (отобранными) для предоставления субсидии;</w:t>
      </w:r>
      <w:proofErr w:type="gramEnd"/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УС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proofErr w:type="spellEnd"/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- предельный уровень </w:t>
      </w: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для i-</w:t>
      </w: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го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образования, определяемый в соответствии с </w:t>
      </w:r>
      <w:hyperlink r:id="rId14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пунктом 6.4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Правил.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3.13. Решение Конкурсной комиссии оформляется протоколом в течение трех рабочих дней 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с даты проведения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заседания Конкурсной комиссии. В течение трех рабочих дней со дня оформления протокола Комитет подготавливает предложения по распределению субсидии бюджетам муниципальных образований и направляет в Комитет финансов Ленинградской области в сроки, установленные планом-графиком подготовки проекта областного бюджета Ленинградской области.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3.14. Комитет в течение пяти рабочих дней после подписания протокола уведомляет муниципальные образования о результатах отбора заявок путем размещения информации на Сайте.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3.15.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 или принятым в соответствии с ним нормативным правовым актом Правительства Ленинградской области в срок до 1 февраля года предоставления субсидии.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3.16. Основанием для внесения изменений в утвержденный для муниципального образования объем субсидии может являться: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1) расторжение Соглашения;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2) распределение нераспределенного объема субсидии на первый и второй годы планового периода;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3) изменение общего объема бюджетных ассигнований областного бюджета Ленинградской области, предусмотренного на предоставление субсидии.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3.17. При наличии экономии по ранее распределенным средствам 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>или) в случае увеличения бюджетных ассигнований на мероприятия в распределение субсидии могут включаться дополнительные заявки, ранее прошедшие конкурсный отбор.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lastRenderedPageBreak/>
        <w:t>Новые заявки включаются в распределение субсидии на основании дополнительного конкурсного отбора, проводимого в соответствии с настоящим Порядком, о сроках проведения которого объявляется дополнительно на Сайте.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Комитет на основании полученных заявок муниципальных образований осуществляет корректировку распределения субсидии и подготавливает предложения по внесению изменений в областной закон об областном бюджете Ленинградской области на очередной финансовый год и на плановый период.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4. Порядок расходования субсидии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4.1. Соглашение заключается по типовой форме, утвержденной Комитетом финансов Ленинградской области, в соответствии с </w:t>
      </w:r>
      <w:hyperlink r:id="rId15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пунктом 4.2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Правил в информационной системе "Управление бюджетным процессом Ленинградской области" в сроки, установленные </w:t>
      </w:r>
      <w:hyperlink r:id="rId16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пунктом 4.3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Правил.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4.2. Муниципальное образование при заключении Соглашения представляет в Комитет: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выписку из бюджета муниципального образования (выписку из сводной бюджетной росписи бюджета муниципального образования), подтверждающую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которых предоставляется субсидия, в объеме, необходимом для его исполнения, включая размер планируемой к предоставлению из областного бюджета Ленинградской области субсидии;</w:t>
      </w:r>
      <w:proofErr w:type="gramEnd"/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муниципальную программу, предусматривающую мероприятия, на </w:t>
      </w: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софинансирование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которых предоставляются субсидии.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4.3.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области, исходя из потребности в оплате денежных обязательств по расходам муниципального образования, источником финансового обеспечения которых являются субсидии.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Муниципальное образование посредством использования информационной системы "Управление бюджетным процессом Ленинградской области" представляет Комитету платежный документ с одновременным представлением документов, подтверждающих потребность в осуществлении расходов.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Исчерпывающий перечень и формы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являются субсидии, устанавливаются в Соглашении.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Перечисление субсидии из областного бюджета Ленинградской области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7-го рабочего дня 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с даты поступления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оформленного надлежащим образом платежного документа.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4.4. 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При включении муниципального образования в перечень получателей субсидии в связи с увеличением объема бюджетных ассигнований областного бюджета Ленинградской области на предоставление субсидии, а также при изменении утвержденного для муниципального образования объема субсидии Соглашение (дополнительное соглашение) заключается не позднее 30 календарных дней со дня вступления в силу нормативного правового акта Ленинградской области, утверждающего изменения в распределение субсидии.</w:t>
      </w:r>
      <w:proofErr w:type="gramEnd"/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4.5. Комитет до 1 февраля года, следующего 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отчетным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>, представляет в Комитет финансов Ленинградской области сводный отчет о целевом использовании субсидий в разрезе муниципальных образований.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lastRenderedPageBreak/>
        <w:t>4.6.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624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соблюдением целей, порядка и условий предоставления субсидии, а также за соблюдением условий Соглашений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 xml:space="preserve">4.7. При невыполнении муниципальным образованием условий Соглашения, в том числе в случае </w:t>
      </w:r>
      <w:proofErr w:type="spellStart"/>
      <w:r w:rsidRPr="00586246">
        <w:rPr>
          <w:rFonts w:ascii="Times New Roman" w:hAnsi="Times New Roman" w:cs="Times New Roman"/>
          <w:bCs/>
          <w:sz w:val="24"/>
          <w:szCs w:val="24"/>
        </w:rPr>
        <w:t>недостижения</w:t>
      </w:r>
      <w:proofErr w:type="spellEnd"/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значений результатов использования субсидии, к муниципальному образованию применяются меры финансовой ответственности по основаниям и в порядке, предусмотренном </w:t>
      </w:r>
      <w:hyperlink r:id="rId17" w:history="1">
        <w:r w:rsidRPr="00586246">
          <w:rPr>
            <w:rFonts w:ascii="Times New Roman" w:hAnsi="Times New Roman" w:cs="Times New Roman"/>
            <w:bCs/>
            <w:sz w:val="24"/>
            <w:szCs w:val="24"/>
          </w:rPr>
          <w:t>разделом 5</w:t>
        </w:r>
      </w:hyperlink>
      <w:r w:rsidRPr="00586246">
        <w:rPr>
          <w:rFonts w:ascii="Times New Roman" w:hAnsi="Times New Roman" w:cs="Times New Roman"/>
          <w:bCs/>
          <w:sz w:val="24"/>
          <w:szCs w:val="24"/>
        </w:rPr>
        <w:t xml:space="preserve"> Правил.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4.8. Средства субсидии, использованные муниципальным образованием не по целевому назначению, подлежат возврату в областной бюджет Ленинградской области.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4.9. Средства субсидии, не использованные в текущем финансовом году, подлежат возврату в областной бюджет в порядке и сроки, установленные правовым актом Комитета финансов Ленинградской области.</w:t>
      </w:r>
    </w:p>
    <w:p w:rsidR="000E17DE" w:rsidRPr="00586246" w:rsidRDefault="000E17DE" w:rsidP="0058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246">
        <w:rPr>
          <w:rFonts w:ascii="Times New Roman" w:hAnsi="Times New Roman" w:cs="Times New Roman"/>
          <w:bCs/>
          <w:sz w:val="24"/>
          <w:szCs w:val="24"/>
        </w:rPr>
        <w:t>4.10.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F866EF" w:rsidRPr="00586246" w:rsidRDefault="00F866EF" w:rsidP="00586246">
      <w:pPr>
        <w:spacing w:after="0" w:line="240" w:lineRule="auto"/>
      </w:pPr>
    </w:p>
    <w:sectPr w:rsidR="00F866EF" w:rsidRPr="00586246" w:rsidSect="00E728E3">
      <w:pgSz w:w="11905" w:h="16838"/>
      <w:pgMar w:top="1134" w:right="736" w:bottom="1134" w:left="153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E"/>
    <w:rsid w:val="000E17DE"/>
    <w:rsid w:val="00586246"/>
    <w:rsid w:val="00F8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ower.lenobl.ru" TargetMode="External"/><Relationship Id="rId13" Type="http://schemas.openxmlformats.org/officeDocument/2006/relationships/hyperlink" Target="https://login.consultant.ru/link/?req=doc&amp;base=SPB&amp;n=309701&amp;dst=1965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8870&amp;dst=100449" TargetMode="External"/><Relationship Id="rId12" Type="http://schemas.openxmlformats.org/officeDocument/2006/relationships/hyperlink" Target="https://login.consultant.ru/link/?req=doc&amp;base=SPB&amp;n=309701&amp;dst=196570" TargetMode="External"/><Relationship Id="rId17" Type="http://schemas.openxmlformats.org/officeDocument/2006/relationships/hyperlink" Target="https://login.consultant.ru/link/?req=doc&amp;base=SPB&amp;n=308870&amp;dst=1005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8870&amp;dst=1006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61" TargetMode="External"/><Relationship Id="rId11" Type="http://schemas.openxmlformats.org/officeDocument/2006/relationships/hyperlink" Target="https://login.consultant.ru/link/?req=doc&amp;base=SPB&amp;n=309701&amp;dst=196555" TargetMode="External"/><Relationship Id="rId5" Type="http://schemas.openxmlformats.org/officeDocument/2006/relationships/hyperlink" Target="https://login.consultant.ru/link/?req=doc&amp;base=LAW&amp;n=501480&amp;dst=101249" TargetMode="External"/><Relationship Id="rId15" Type="http://schemas.openxmlformats.org/officeDocument/2006/relationships/hyperlink" Target="https://login.consultant.ru/link/?req=doc&amp;base=SPB&amp;n=308870&amp;dst=100523" TargetMode="External"/><Relationship Id="rId10" Type="http://schemas.openxmlformats.org/officeDocument/2006/relationships/hyperlink" Target="https://login.consultant.ru/link/?req=doc&amp;base=LAW&amp;n=49499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9701&amp;dst=196495" TargetMode="External"/><Relationship Id="rId14" Type="http://schemas.openxmlformats.org/officeDocument/2006/relationships/hyperlink" Target="https://login.consultant.ru/link/?req=doc&amp;base=SPB&amp;n=308870&amp;dst=100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Старостина Рузанна Левоновна</cp:lastModifiedBy>
  <cp:revision>3</cp:revision>
  <dcterms:created xsi:type="dcterms:W3CDTF">2025-07-24T08:39:00Z</dcterms:created>
  <dcterms:modified xsi:type="dcterms:W3CDTF">2025-08-11T12:45:00Z</dcterms:modified>
</cp:coreProperties>
</file>