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C2" w:rsidRPr="009005C2" w:rsidRDefault="009005C2" w:rsidP="00C0148E">
      <w:pPr>
        <w:shd w:val="clear" w:color="auto" w:fill="FFFFFF" w:themeFill="background1"/>
      </w:pPr>
    </w:p>
    <w:p w:rsidR="006075B1" w:rsidRPr="00DA6944" w:rsidRDefault="006075B1" w:rsidP="00C0148E">
      <w:pPr>
        <w:pStyle w:val="5"/>
        <w:keepLines/>
        <w:suppressLineNumbers/>
        <w:shd w:val="clear" w:color="auto" w:fill="FFFFFF" w:themeFill="background1"/>
        <w:tabs>
          <w:tab w:val="clear" w:pos="3119"/>
          <w:tab w:val="left" w:pos="-709"/>
        </w:tabs>
        <w:suppressAutoHyphens/>
        <w:ind w:left="0"/>
        <w:jc w:val="center"/>
        <w:rPr>
          <w:b/>
          <w:szCs w:val="28"/>
        </w:rPr>
      </w:pPr>
      <w:r w:rsidRPr="00DA6944">
        <w:rPr>
          <w:b/>
          <w:szCs w:val="28"/>
        </w:rPr>
        <w:t xml:space="preserve">ПРЕДВАРИТЕЛЬНЫЕ ИТОГИ СОЦИАЛЬНО-ЭКОНОМИЧЕСКОГО РАЗВИТИЯ ЛЕНИНГРАДСКОЙ ОБЛАСТИ </w:t>
      </w:r>
    </w:p>
    <w:p w:rsidR="006075B1" w:rsidRPr="00DA6944" w:rsidRDefault="006075B1" w:rsidP="00C0148E">
      <w:pPr>
        <w:pStyle w:val="5"/>
        <w:keepLines/>
        <w:suppressLineNumbers/>
        <w:shd w:val="clear" w:color="auto" w:fill="FFFFFF" w:themeFill="background1"/>
        <w:tabs>
          <w:tab w:val="clear" w:pos="3119"/>
          <w:tab w:val="left" w:pos="-709"/>
        </w:tabs>
        <w:suppressAutoHyphens/>
        <w:ind w:left="0"/>
        <w:jc w:val="center"/>
      </w:pPr>
      <w:r w:rsidRPr="00DA6944">
        <w:rPr>
          <w:b/>
          <w:szCs w:val="28"/>
        </w:rPr>
        <w:t>ЗА ЯНВАРЬ-МАЙ 20</w:t>
      </w:r>
      <w:r w:rsidR="00B728EF">
        <w:rPr>
          <w:b/>
          <w:szCs w:val="28"/>
        </w:rPr>
        <w:t>2</w:t>
      </w:r>
      <w:r w:rsidR="00E7298F">
        <w:rPr>
          <w:b/>
          <w:szCs w:val="28"/>
        </w:rPr>
        <w:t>5</w:t>
      </w:r>
      <w:r w:rsidRPr="00DA6944">
        <w:rPr>
          <w:b/>
          <w:szCs w:val="28"/>
        </w:rPr>
        <w:t xml:space="preserve"> ГОДА</w:t>
      </w:r>
    </w:p>
    <w:p w:rsidR="00B728EF" w:rsidRPr="00B728EF" w:rsidRDefault="00B728EF" w:rsidP="00C0148E">
      <w:pPr>
        <w:pStyle w:val="3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bookmarkStart w:id="0" w:name="_Toc240798546"/>
      <w:bookmarkStart w:id="1" w:name="_Toc240798545"/>
      <w:bookmarkStart w:id="2" w:name="_Toc320531648"/>
      <w:bookmarkStart w:id="3" w:name="_Toc365364331"/>
    </w:p>
    <w:p w:rsidR="002552CA" w:rsidRPr="004407D5" w:rsidRDefault="002552CA" w:rsidP="00C0148E">
      <w:pPr>
        <w:pStyle w:val="a3"/>
        <w:shd w:val="clear" w:color="auto" w:fill="FFFFFF" w:themeFill="background1"/>
        <w:spacing w:before="120"/>
        <w:rPr>
          <w:szCs w:val="28"/>
        </w:rPr>
      </w:pPr>
      <w:bookmarkStart w:id="4" w:name="_Toc240798550"/>
      <w:bookmarkEnd w:id="0"/>
      <w:bookmarkEnd w:id="1"/>
      <w:bookmarkEnd w:id="2"/>
      <w:bookmarkEnd w:id="3"/>
      <w:r w:rsidRPr="004407D5">
        <w:rPr>
          <w:szCs w:val="28"/>
        </w:rPr>
        <w:t>Итоги 202</w:t>
      </w:r>
      <w:r w:rsidR="004407D5" w:rsidRPr="004407D5">
        <w:rPr>
          <w:szCs w:val="28"/>
        </w:rPr>
        <w:t>4</w:t>
      </w:r>
      <w:r w:rsidRPr="004407D5">
        <w:rPr>
          <w:szCs w:val="28"/>
        </w:rPr>
        <w:t xml:space="preserve"> </w:t>
      </w:r>
      <w:r w:rsidR="00682C97" w:rsidRPr="004407D5">
        <w:rPr>
          <w:szCs w:val="28"/>
        </w:rPr>
        <w:t xml:space="preserve">года </w:t>
      </w:r>
      <w:r w:rsidRPr="004407D5">
        <w:rPr>
          <w:szCs w:val="28"/>
        </w:rPr>
        <w:t>и пяти месяцев 202</w:t>
      </w:r>
      <w:r w:rsidR="004407D5" w:rsidRPr="004407D5">
        <w:rPr>
          <w:szCs w:val="28"/>
        </w:rPr>
        <w:t>5</w:t>
      </w:r>
      <w:r w:rsidRPr="004407D5">
        <w:rPr>
          <w:szCs w:val="28"/>
        </w:rPr>
        <w:t xml:space="preserve"> года демонстрируют, что экон</w:t>
      </w:r>
      <w:r w:rsidR="00A671D9">
        <w:rPr>
          <w:szCs w:val="28"/>
        </w:rPr>
        <w:t xml:space="preserve">омика Ленинградской области, </w:t>
      </w:r>
      <w:r w:rsidR="00A671D9" w:rsidRPr="00063628">
        <w:rPr>
          <w:szCs w:val="28"/>
        </w:rPr>
        <w:t>не</w:t>
      </w:r>
      <w:r w:rsidRPr="00063628">
        <w:rPr>
          <w:szCs w:val="28"/>
        </w:rPr>
        <w:t>смотря</w:t>
      </w:r>
      <w:r w:rsidRPr="004407D5">
        <w:rPr>
          <w:szCs w:val="28"/>
        </w:rPr>
        <w:t xml:space="preserve"> на </w:t>
      </w:r>
      <w:proofErr w:type="spellStart"/>
      <w:r w:rsidRPr="004407D5">
        <w:rPr>
          <w:szCs w:val="28"/>
        </w:rPr>
        <w:t>санкционный</w:t>
      </w:r>
      <w:proofErr w:type="spellEnd"/>
      <w:r w:rsidRPr="004407D5">
        <w:rPr>
          <w:szCs w:val="28"/>
        </w:rPr>
        <w:t xml:space="preserve"> вызов, доказала свою устойчивость</w:t>
      </w:r>
      <w:r w:rsidR="00682C97" w:rsidRPr="004407D5">
        <w:rPr>
          <w:szCs w:val="28"/>
        </w:rPr>
        <w:t xml:space="preserve"> и уверенно растет</w:t>
      </w:r>
      <w:r w:rsidRPr="004407D5">
        <w:rPr>
          <w:szCs w:val="28"/>
        </w:rPr>
        <w:t>. Во многом благодаря диверсифицированной структуре промышленного комплекса, а также накопленному потенциалу и своевременно принятым антикризисным мерам.</w:t>
      </w:r>
      <w:r w:rsidR="00682C97" w:rsidRPr="004407D5">
        <w:rPr>
          <w:szCs w:val="28"/>
        </w:rPr>
        <w:t xml:space="preserve"> </w:t>
      </w:r>
    </w:p>
    <w:p w:rsidR="00D27BDD" w:rsidRPr="00D27BDD" w:rsidRDefault="00D27BDD" w:rsidP="00D27BDD">
      <w:pPr>
        <w:tabs>
          <w:tab w:val="left" w:pos="708"/>
          <w:tab w:val="left" w:pos="1418"/>
        </w:tabs>
        <w:ind w:firstLine="709"/>
        <w:jc w:val="both"/>
        <w:rPr>
          <w:sz w:val="28"/>
          <w:szCs w:val="28"/>
        </w:rPr>
      </w:pPr>
      <w:r w:rsidRPr="00D27BDD">
        <w:rPr>
          <w:b/>
          <w:i/>
          <w:sz w:val="28"/>
          <w:szCs w:val="28"/>
        </w:rPr>
        <w:t xml:space="preserve">Объем отгруженных товаров собственного производства, выполненных работ и услуг </w:t>
      </w:r>
      <w:r w:rsidRPr="00D27BDD">
        <w:rPr>
          <w:sz w:val="28"/>
          <w:szCs w:val="28"/>
        </w:rPr>
        <w:t>по всем основным видам промышленной деятельности в январе-мае 2025 года составил 1</w:t>
      </w:r>
      <w:r w:rsidR="00063628">
        <w:rPr>
          <w:sz w:val="28"/>
          <w:szCs w:val="28"/>
        </w:rPr>
        <w:t> </w:t>
      </w:r>
      <w:r w:rsidRPr="00D27BDD">
        <w:rPr>
          <w:sz w:val="28"/>
          <w:szCs w:val="28"/>
        </w:rPr>
        <w:t xml:space="preserve">008,6 </w:t>
      </w:r>
      <w:proofErr w:type="gramStart"/>
      <w:r w:rsidRPr="00D27BDD">
        <w:rPr>
          <w:sz w:val="28"/>
          <w:szCs w:val="28"/>
        </w:rPr>
        <w:t>млрд</w:t>
      </w:r>
      <w:proofErr w:type="gramEnd"/>
      <w:r w:rsidRPr="00D27BDD">
        <w:rPr>
          <w:sz w:val="28"/>
          <w:szCs w:val="28"/>
        </w:rPr>
        <w:t xml:space="preserve"> рублей или </w:t>
      </w:r>
      <w:r w:rsidRPr="00D27BDD">
        <w:rPr>
          <w:b/>
          <w:sz w:val="28"/>
          <w:szCs w:val="28"/>
        </w:rPr>
        <w:t>110,9%</w:t>
      </w:r>
      <w:r w:rsidRPr="00D27BDD">
        <w:rPr>
          <w:sz w:val="28"/>
          <w:szCs w:val="28"/>
        </w:rPr>
        <w:t xml:space="preserve"> к уровню января-мая 2024 года в действующих ценах. </w:t>
      </w:r>
    </w:p>
    <w:p w:rsidR="00D27BDD" w:rsidRPr="00D27BDD" w:rsidRDefault="00D27BDD" w:rsidP="00D27BDD">
      <w:pPr>
        <w:tabs>
          <w:tab w:val="left" w:pos="708"/>
          <w:tab w:val="left" w:pos="1418"/>
        </w:tabs>
        <w:ind w:firstLine="709"/>
        <w:jc w:val="both"/>
        <w:rPr>
          <w:sz w:val="28"/>
          <w:szCs w:val="28"/>
        </w:rPr>
      </w:pPr>
      <w:r w:rsidRPr="00D27BDD">
        <w:rPr>
          <w:b/>
          <w:i/>
          <w:iCs/>
          <w:sz w:val="28"/>
          <w:szCs w:val="28"/>
        </w:rPr>
        <w:t xml:space="preserve">Индекс промышленного производства </w:t>
      </w:r>
      <w:r w:rsidRPr="00D27BDD">
        <w:rPr>
          <w:iCs/>
          <w:sz w:val="28"/>
          <w:szCs w:val="28"/>
        </w:rPr>
        <w:t>по полному кругу предприятий</w:t>
      </w:r>
      <w:r w:rsidRPr="00D27BDD">
        <w:rPr>
          <w:sz w:val="28"/>
          <w:szCs w:val="28"/>
        </w:rPr>
        <w:t xml:space="preserve"> </w:t>
      </w:r>
      <w:r w:rsidRPr="00D27BDD">
        <w:rPr>
          <w:sz w:val="28"/>
          <w:szCs w:val="28"/>
        </w:rPr>
        <w:br/>
        <w:t xml:space="preserve">к соответствующему периоду предыдущего года составил </w:t>
      </w:r>
      <w:r w:rsidRPr="00D27BDD">
        <w:rPr>
          <w:b/>
          <w:sz w:val="28"/>
          <w:szCs w:val="28"/>
        </w:rPr>
        <w:t>101,5%.</w:t>
      </w:r>
    </w:p>
    <w:p w:rsidR="004761FA" w:rsidRPr="00D27BDD" w:rsidRDefault="004761FA" w:rsidP="00C0148E">
      <w:pPr>
        <w:shd w:val="clear" w:color="auto" w:fill="FFFFFF" w:themeFill="background1"/>
        <w:spacing w:line="228" w:lineRule="auto"/>
        <w:ind w:firstLine="720"/>
        <w:jc w:val="both"/>
        <w:rPr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3462"/>
        <w:gridCol w:w="2851"/>
      </w:tblGrid>
      <w:tr w:rsidR="00495DFD" w:rsidRPr="00495DFD" w:rsidTr="008F473A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495DFD" w:rsidRDefault="00495DFD" w:rsidP="00495DFD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 xml:space="preserve">Объем отгруженных товаров собственного производства, выполненных работ и услуг, </w:t>
            </w:r>
            <w:proofErr w:type="gramStart"/>
            <w:r w:rsidRPr="00495DFD">
              <w:rPr>
                <w:sz w:val="24"/>
                <w:szCs w:val="24"/>
                <w:lang w:eastAsia="en-US"/>
              </w:rPr>
              <w:t>млн</w:t>
            </w:r>
            <w:proofErr w:type="gramEnd"/>
            <w:r w:rsidRPr="00495DFD">
              <w:rPr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Индекс промышленного производства к аналогичному периоду 2024 года,%</w:t>
            </w:r>
          </w:p>
        </w:tc>
      </w:tr>
      <w:tr w:rsidR="00495DFD" w:rsidRPr="00495DFD" w:rsidTr="008F473A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Добыча полезных ископаемых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22</w:t>
            </w:r>
            <w:r w:rsidR="00063628">
              <w:rPr>
                <w:sz w:val="24"/>
                <w:szCs w:val="24"/>
                <w:lang w:eastAsia="en-US"/>
              </w:rPr>
              <w:t> </w:t>
            </w:r>
            <w:r w:rsidRPr="00495DFD">
              <w:rPr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109,5</w:t>
            </w:r>
          </w:p>
        </w:tc>
      </w:tr>
      <w:tr w:rsidR="00495DFD" w:rsidRPr="00495DFD" w:rsidTr="008F473A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Обрабатывающие производства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864</w:t>
            </w:r>
            <w:r w:rsidR="00063628">
              <w:rPr>
                <w:sz w:val="24"/>
                <w:szCs w:val="24"/>
                <w:lang w:eastAsia="en-US"/>
              </w:rPr>
              <w:t> </w:t>
            </w:r>
            <w:r w:rsidRPr="00495DFD">
              <w:rPr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101,3</w:t>
            </w:r>
          </w:p>
        </w:tc>
      </w:tr>
      <w:tr w:rsidR="00495DFD" w:rsidRPr="00495DFD" w:rsidTr="008F473A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105</w:t>
            </w:r>
            <w:r w:rsidR="00063628">
              <w:rPr>
                <w:sz w:val="24"/>
                <w:szCs w:val="24"/>
                <w:lang w:eastAsia="en-US"/>
              </w:rPr>
              <w:t> </w:t>
            </w:r>
            <w:r w:rsidRPr="00495DFD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100,7</w:t>
            </w:r>
          </w:p>
        </w:tc>
      </w:tr>
      <w:tr w:rsidR="00495DFD" w:rsidRPr="00495DFD" w:rsidTr="008F473A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FD" w:rsidRPr="00495DFD" w:rsidRDefault="00495DFD" w:rsidP="00495DFD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16</w:t>
            </w:r>
            <w:r w:rsidR="00063628">
              <w:rPr>
                <w:sz w:val="24"/>
                <w:szCs w:val="24"/>
                <w:lang w:eastAsia="en-US"/>
              </w:rPr>
              <w:t> </w:t>
            </w:r>
            <w:r w:rsidRPr="00495DFD">
              <w:rPr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FD" w:rsidRPr="00495DFD" w:rsidRDefault="00495DFD" w:rsidP="00495DF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95DFD">
              <w:rPr>
                <w:sz w:val="24"/>
                <w:szCs w:val="24"/>
                <w:lang w:eastAsia="en-US"/>
              </w:rPr>
              <w:t>115,5</w:t>
            </w:r>
          </w:p>
        </w:tc>
      </w:tr>
    </w:tbl>
    <w:p w:rsidR="004761FA" w:rsidRPr="00E7298F" w:rsidRDefault="004761FA" w:rsidP="00C0148E">
      <w:pPr>
        <w:shd w:val="clear" w:color="auto" w:fill="FFFFFF" w:themeFill="background1"/>
        <w:spacing w:line="228" w:lineRule="auto"/>
        <w:ind w:firstLine="720"/>
        <w:jc w:val="both"/>
        <w:rPr>
          <w:b/>
          <w:sz w:val="28"/>
          <w:szCs w:val="28"/>
          <w:highlight w:val="yellow"/>
          <w:u w:val="single"/>
        </w:rPr>
      </w:pPr>
    </w:p>
    <w:p w:rsidR="004E1AB7" w:rsidRPr="004E1AB7" w:rsidRDefault="004E1AB7" w:rsidP="004E1AB7">
      <w:pPr>
        <w:spacing w:line="228" w:lineRule="auto"/>
        <w:ind w:firstLine="720"/>
        <w:jc w:val="both"/>
        <w:rPr>
          <w:b/>
          <w:sz w:val="28"/>
          <w:szCs w:val="28"/>
        </w:rPr>
      </w:pPr>
      <w:r w:rsidRPr="004E1AB7">
        <w:rPr>
          <w:b/>
          <w:i/>
          <w:sz w:val="28"/>
          <w:szCs w:val="28"/>
        </w:rPr>
        <w:t>Добыча полезных ископаемых.</w:t>
      </w:r>
      <w:r w:rsidRPr="004E1AB7">
        <w:rPr>
          <w:b/>
          <w:sz w:val="28"/>
          <w:szCs w:val="28"/>
        </w:rPr>
        <w:t xml:space="preserve"> </w:t>
      </w:r>
    </w:p>
    <w:p w:rsidR="004E1AB7" w:rsidRPr="004E1AB7" w:rsidRDefault="004E1AB7" w:rsidP="004E1AB7">
      <w:pPr>
        <w:spacing w:line="228" w:lineRule="auto"/>
        <w:ind w:firstLine="720"/>
        <w:jc w:val="both"/>
        <w:rPr>
          <w:sz w:val="28"/>
          <w:szCs w:val="28"/>
        </w:rPr>
      </w:pPr>
      <w:r w:rsidRPr="004E1AB7">
        <w:rPr>
          <w:sz w:val="28"/>
          <w:szCs w:val="28"/>
        </w:rPr>
        <w:t>Объем</w:t>
      </w:r>
      <w:r w:rsidRPr="004E1AB7">
        <w:rPr>
          <w:b/>
          <w:sz w:val="28"/>
          <w:szCs w:val="28"/>
        </w:rPr>
        <w:t xml:space="preserve"> </w:t>
      </w:r>
      <w:r w:rsidRPr="004E1AB7">
        <w:rPr>
          <w:sz w:val="28"/>
          <w:szCs w:val="28"/>
        </w:rPr>
        <w:t>добычи песка природного составил 9,8 </w:t>
      </w:r>
      <w:proofErr w:type="gramStart"/>
      <w:r w:rsidRPr="004E1AB7">
        <w:rPr>
          <w:sz w:val="28"/>
          <w:szCs w:val="28"/>
        </w:rPr>
        <w:t>млн</w:t>
      </w:r>
      <w:proofErr w:type="gramEnd"/>
      <w:r w:rsidRPr="004E1AB7">
        <w:rPr>
          <w:sz w:val="28"/>
          <w:szCs w:val="28"/>
        </w:rPr>
        <w:t xml:space="preserve"> м</w:t>
      </w:r>
      <w:r w:rsidRPr="004E1AB7">
        <w:rPr>
          <w:sz w:val="28"/>
          <w:szCs w:val="28"/>
          <w:vertAlign w:val="superscript"/>
        </w:rPr>
        <w:t>3</w:t>
      </w:r>
      <w:r w:rsidRPr="004E1AB7">
        <w:rPr>
          <w:sz w:val="28"/>
          <w:szCs w:val="28"/>
        </w:rPr>
        <w:t xml:space="preserve"> или </w:t>
      </w:r>
      <w:r w:rsidRPr="004E1AB7">
        <w:rPr>
          <w:b/>
          <w:sz w:val="28"/>
          <w:szCs w:val="28"/>
        </w:rPr>
        <w:t>91,4%</w:t>
      </w:r>
      <w:r w:rsidRPr="004E1AB7">
        <w:rPr>
          <w:sz w:val="28"/>
          <w:szCs w:val="28"/>
        </w:rPr>
        <w:t xml:space="preserve"> к январю-маю 2024 года; гранул, крошки и порошка; гальки и гравия – 8,9 млн м</w:t>
      </w:r>
      <w:r w:rsidRPr="004E1AB7">
        <w:rPr>
          <w:sz w:val="28"/>
          <w:szCs w:val="28"/>
          <w:vertAlign w:val="superscript"/>
        </w:rPr>
        <w:t>3</w:t>
      </w:r>
      <w:r w:rsidRPr="004E1AB7">
        <w:rPr>
          <w:sz w:val="28"/>
          <w:szCs w:val="28"/>
        </w:rPr>
        <w:t xml:space="preserve"> или </w:t>
      </w:r>
      <w:r w:rsidRPr="004E1AB7">
        <w:rPr>
          <w:b/>
          <w:sz w:val="28"/>
          <w:szCs w:val="28"/>
        </w:rPr>
        <w:t>104,9%.</w:t>
      </w:r>
    </w:p>
    <w:p w:rsidR="004E1AB7" w:rsidRDefault="004E1AB7" w:rsidP="00C0148E">
      <w:pPr>
        <w:shd w:val="clear" w:color="auto" w:fill="FFFFFF" w:themeFill="background1"/>
        <w:spacing w:line="228" w:lineRule="auto"/>
        <w:ind w:firstLine="720"/>
        <w:jc w:val="both"/>
        <w:rPr>
          <w:b/>
          <w:i/>
          <w:sz w:val="28"/>
          <w:szCs w:val="28"/>
          <w:highlight w:val="yellow"/>
        </w:rPr>
      </w:pPr>
    </w:p>
    <w:p w:rsidR="004761FA" w:rsidRPr="000E29BC" w:rsidRDefault="004761FA" w:rsidP="00C0148E">
      <w:pPr>
        <w:shd w:val="clear" w:color="auto" w:fill="FFFFFF" w:themeFill="background1"/>
        <w:spacing w:line="228" w:lineRule="auto"/>
        <w:ind w:firstLine="720"/>
        <w:jc w:val="both"/>
        <w:rPr>
          <w:b/>
          <w:sz w:val="28"/>
          <w:szCs w:val="28"/>
        </w:rPr>
      </w:pPr>
      <w:r w:rsidRPr="000E29BC">
        <w:rPr>
          <w:b/>
          <w:i/>
          <w:sz w:val="28"/>
          <w:szCs w:val="28"/>
        </w:rPr>
        <w:t>Обрабатывающие производства</w:t>
      </w:r>
      <w:r w:rsidRPr="000E29BC">
        <w:rPr>
          <w:b/>
          <w:sz w:val="28"/>
          <w:szCs w:val="28"/>
        </w:rPr>
        <w:t xml:space="preserve">. </w:t>
      </w:r>
    </w:p>
    <w:p w:rsidR="000E29BC" w:rsidRDefault="000E29BC" w:rsidP="00A03DA2">
      <w:pPr>
        <w:spacing w:line="228" w:lineRule="auto"/>
        <w:ind w:firstLine="720"/>
        <w:jc w:val="both"/>
        <w:rPr>
          <w:sz w:val="28"/>
          <w:szCs w:val="28"/>
        </w:rPr>
      </w:pPr>
      <w:r w:rsidRPr="000E29BC">
        <w:rPr>
          <w:b/>
          <w:sz w:val="28"/>
          <w:szCs w:val="28"/>
          <w:u w:val="single"/>
        </w:rPr>
        <w:t>Рост производства</w:t>
      </w:r>
      <w:r w:rsidRPr="000E29BC">
        <w:rPr>
          <w:b/>
          <w:sz w:val="28"/>
          <w:szCs w:val="28"/>
        </w:rPr>
        <w:t xml:space="preserve"> </w:t>
      </w:r>
      <w:r w:rsidRPr="000E29BC">
        <w:rPr>
          <w:sz w:val="28"/>
          <w:szCs w:val="28"/>
        </w:rPr>
        <w:t>и</w:t>
      </w:r>
      <w:r w:rsidRPr="000E29BC">
        <w:rPr>
          <w:b/>
          <w:sz w:val="28"/>
          <w:szCs w:val="28"/>
        </w:rPr>
        <w:t xml:space="preserve"> </w:t>
      </w:r>
      <w:r w:rsidRPr="000E29BC">
        <w:rPr>
          <w:sz w:val="28"/>
          <w:szCs w:val="28"/>
        </w:rPr>
        <w:t>объем отгруженных товаров собственного производства,</w:t>
      </w:r>
      <w:r w:rsidRPr="000E29BC">
        <w:rPr>
          <w:b/>
          <w:sz w:val="28"/>
          <w:szCs w:val="28"/>
        </w:rPr>
        <w:t xml:space="preserve"> </w:t>
      </w:r>
      <w:r w:rsidRPr="000E29BC">
        <w:rPr>
          <w:sz w:val="28"/>
          <w:szCs w:val="28"/>
        </w:rPr>
        <w:t>выполненных работ и услуг в январе-мае 2025 года:</w:t>
      </w:r>
    </w:p>
    <w:p w:rsidR="00A03DA2" w:rsidRPr="000E29BC" w:rsidRDefault="00A03DA2" w:rsidP="00A03DA2">
      <w:pPr>
        <w:spacing w:line="228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3"/>
        <w:gridCol w:w="2388"/>
        <w:gridCol w:w="1736"/>
        <w:gridCol w:w="1934"/>
      </w:tblGrid>
      <w:tr w:rsidR="00A03DA2" w:rsidRPr="00A03DA2" w:rsidTr="008F473A">
        <w:trPr>
          <w:tblHeader/>
          <w:jc w:val="center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Виды обрабатывающих производств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Индекс промышленного производства к соотв. периоду 2024 года,%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Объем отгруженных товаров собственного производства, выполненных работ и услуг</w:t>
            </w:r>
          </w:p>
        </w:tc>
      </w:tr>
      <w:tr w:rsidR="00A03DA2" w:rsidRPr="00A03DA2" w:rsidTr="008F473A">
        <w:trPr>
          <w:tblHeader/>
          <w:jc w:val="center"/>
        </w:trPr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03DA2">
              <w:rPr>
                <w:sz w:val="24"/>
                <w:szCs w:val="24"/>
                <w:lang w:eastAsia="en-US"/>
              </w:rPr>
              <w:t>млн</w:t>
            </w:r>
            <w:proofErr w:type="gramEnd"/>
            <w:r w:rsidRPr="00A03DA2">
              <w:rPr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к соотв. периоду 2024 года,%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кожи и изделий из кожи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7,1 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3,4 р.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машин и оборудования, не включенных в другие группировки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1,6 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12289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109,8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автотранспортных средств, прицепов и полуприцепов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148,3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5845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1,9 р.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 xml:space="preserve">в производстве компьютеров, </w:t>
            </w:r>
            <w:r w:rsidRPr="00A03DA2">
              <w:rPr>
                <w:sz w:val="24"/>
                <w:szCs w:val="24"/>
                <w:lang w:eastAsia="en-US"/>
              </w:rPr>
              <w:lastRenderedPageBreak/>
              <w:t>электронных и оптических изделий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lastRenderedPageBreak/>
              <w:t>136,2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4610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122,7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lastRenderedPageBreak/>
              <w:t>в ремонте и монтаже машин и оборудования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10801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140,3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лекарственных средств и материалов, применяемых в медицинских целях и ветеринарии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118,4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8998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119,3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кокса и нефтепродуктов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117,7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198672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119,3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мебели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116,1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3090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109,2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текстильных изделий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112,0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2588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104,3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изделий из дерева и пробки, кроме мебели,  производство изделий из соломки и материалов для плетения,  обработка древесины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102,5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12705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129,6</w:t>
            </w:r>
          </w:p>
        </w:tc>
      </w:tr>
      <w:tr w:rsidR="00A03DA2" w:rsidRPr="00A03DA2" w:rsidTr="008F473A">
        <w:trPr>
          <w:trHeight w:val="39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пищевых продуктов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146775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125,4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2" w:rsidRPr="00A03DA2" w:rsidRDefault="00A03DA2" w:rsidP="00A03DA2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табачных изделий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78162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111,5</w:t>
            </w:r>
          </w:p>
        </w:tc>
      </w:tr>
      <w:tr w:rsidR="00A03DA2" w:rsidRPr="00A03DA2" w:rsidTr="008F473A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в производстве бумаги и бумажных изделий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100,3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62055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A2" w:rsidRPr="00A03DA2" w:rsidRDefault="00A03DA2" w:rsidP="00A03DA2">
            <w:pPr>
              <w:jc w:val="center"/>
              <w:rPr>
                <w:sz w:val="24"/>
                <w:szCs w:val="24"/>
                <w:lang w:eastAsia="en-US"/>
              </w:rPr>
            </w:pPr>
            <w:r w:rsidRPr="00A03DA2">
              <w:rPr>
                <w:sz w:val="24"/>
                <w:szCs w:val="24"/>
                <w:lang w:eastAsia="en-US"/>
              </w:rPr>
              <w:t>105,0</w:t>
            </w:r>
          </w:p>
        </w:tc>
      </w:tr>
    </w:tbl>
    <w:p w:rsidR="004761FA" w:rsidRPr="00E7298F" w:rsidRDefault="004761FA" w:rsidP="00C0148E">
      <w:pPr>
        <w:shd w:val="clear" w:color="auto" w:fill="FFFFFF" w:themeFill="background1"/>
        <w:spacing w:line="228" w:lineRule="auto"/>
        <w:jc w:val="both"/>
        <w:rPr>
          <w:b/>
          <w:sz w:val="28"/>
          <w:szCs w:val="28"/>
          <w:highlight w:val="yellow"/>
          <w:u w:val="single"/>
        </w:rPr>
      </w:pPr>
    </w:p>
    <w:p w:rsidR="003262AE" w:rsidRPr="003262AE" w:rsidRDefault="003262AE" w:rsidP="003262AE">
      <w:pPr>
        <w:spacing w:line="228" w:lineRule="auto"/>
        <w:ind w:firstLine="709"/>
        <w:jc w:val="both"/>
        <w:rPr>
          <w:sz w:val="28"/>
          <w:szCs w:val="28"/>
        </w:rPr>
      </w:pPr>
      <w:r w:rsidRPr="003262AE">
        <w:rPr>
          <w:b/>
          <w:sz w:val="28"/>
          <w:szCs w:val="28"/>
          <w:u w:val="single"/>
        </w:rPr>
        <w:t>Снижение</w:t>
      </w:r>
      <w:r w:rsidRPr="003262AE">
        <w:rPr>
          <w:b/>
          <w:sz w:val="28"/>
          <w:szCs w:val="28"/>
        </w:rPr>
        <w:t xml:space="preserve"> производства, и </w:t>
      </w:r>
      <w:r w:rsidRPr="003262AE">
        <w:rPr>
          <w:sz w:val="28"/>
          <w:szCs w:val="28"/>
        </w:rPr>
        <w:t>объем отгруженных товаров собственного производства, выполненных работ и услуг в январе-мае 2025 года:</w:t>
      </w:r>
    </w:p>
    <w:p w:rsidR="003262AE" w:rsidRDefault="003262AE" w:rsidP="00C0148E">
      <w:pPr>
        <w:shd w:val="clear" w:color="auto" w:fill="FFFFFF" w:themeFill="background1"/>
        <w:spacing w:line="228" w:lineRule="auto"/>
        <w:ind w:firstLine="709"/>
        <w:jc w:val="both"/>
        <w:rPr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3"/>
        <w:gridCol w:w="2026"/>
        <w:gridCol w:w="1899"/>
        <w:gridCol w:w="2033"/>
      </w:tblGrid>
      <w:tr w:rsidR="002C6630" w:rsidRPr="002C6630" w:rsidTr="008F473A">
        <w:trPr>
          <w:trHeight w:val="733"/>
          <w:tblHeader/>
          <w:jc w:val="center"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Виды обрабатывающих производств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Индекс промышленного производства к соотв. периоду 2024 года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Объем отгруженных товаров собственного производства, выполненных работ и услуг</w:t>
            </w:r>
          </w:p>
        </w:tc>
      </w:tr>
      <w:tr w:rsidR="002C6630" w:rsidRPr="002C6630" w:rsidTr="008F473A">
        <w:trPr>
          <w:tblHeader/>
          <w:jc w:val="center"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0" w:rsidRPr="002C6630" w:rsidRDefault="002C6630" w:rsidP="002C66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C6630">
              <w:rPr>
                <w:sz w:val="24"/>
                <w:szCs w:val="24"/>
                <w:lang w:eastAsia="en-US"/>
              </w:rPr>
              <w:t>млн</w:t>
            </w:r>
            <w:proofErr w:type="gramEnd"/>
            <w:r w:rsidRPr="002C6630">
              <w:rPr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к соотв. периоду 2024 года, %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прочих готовых изделий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98,8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1340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128,5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резиновых и пластмассовых изделий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37149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120,0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химических веществ и химических продуктов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96,3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114148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111,8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одежды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92,8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4261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4,4 р.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напитков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2137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99,6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электрического оборудования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20568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117,2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прочей неметаллической минеральной продукции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41548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109,5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прочих транспортных средств и оборудования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79,9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48445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88,1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производстве готовых металлических изделий, кроме машин и оборудования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73,8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30515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95,2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металлургическом производстве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7785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51,0</w:t>
            </w:r>
          </w:p>
        </w:tc>
      </w:tr>
      <w:tr w:rsidR="002C6630" w:rsidRPr="002C6630" w:rsidTr="008F473A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30" w:rsidRPr="002C6630" w:rsidRDefault="002C6630" w:rsidP="002C6630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в полиграфической деятельности и копировании носителей информации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65,7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10267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0" w:rsidRPr="002C6630" w:rsidRDefault="002C6630" w:rsidP="002C6630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C6630">
              <w:rPr>
                <w:sz w:val="24"/>
                <w:szCs w:val="24"/>
                <w:lang w:eastAsia="en-US"/>
              </w:rPr>
              <w:t>71,6</w:t>
            </w:r>
          </w:p>
        </w:tc>
      </w:tr>
    </w:tbl>
    <w:p w:rsidR="00653671" w:rsidRPr="00653671" w:rsidRDefault="00653671" w:rsidP="008F473A">
      <w:pPr>
        <w:shd w:val="clear" w:color="auto" w:fill="FFFFFF" w:themeFill="background1"/>
        <w:spacing w:line="228" w:lineRule="auto"/>
        <w:ind w:firstLine="709"/>
        <w:jc w:val="both"/>
        <w:rPr>
          <w:bCs/>
          <w:sz w:val="28"/>
          <w:szCs w:val="28"/>
        </w:rPr>
      </w:pPr>
      <w:r w:rsidRPr="00653671">
        <w:rPr>
          <w:b/>
          <w:i/>
          <w:sz w:val="28"/>
          <w:szCs w:val="28"/>
        </w:rPr>
        <w:lastRenderedPageBreak/>
        <w:t>Обеспечение электрической энергией, газом и паром; кондиционирование воздуха</w:t>
      </w:r>
      <w:r w:rsidRPr="00653671">
        <w:rPr>
          <w:b/>
          <w:sz w:val="28"/>
          <w:szCs w:val="28"/>
        </w:rPr>
        <w:t>.</w:t>
      </w:r>
      <w:r w:rsidRPr="00653671">
        <w:rPr>
          <w:i/>
          <w:sz w:val="28"/>
          <w:szCs w:val="28"/>
        </w:rPr>
        <w:t xml:space="preserve"> </w:t>
      </w:r>
      <w:r w:rsidRPr="00653671">
        <w:rPr>
          <w:sz w:val="28"/>
          <w:szCs w:val="28"/>
        </w:rPr>
        <w:t>Объем отгруженных товаров собственного производства, выполненных работ и услуг</w:t>
      </w:r>
      <w:r w:rsidRPr="00653671">
        <w:rPr>
          <w:i/>
          <w:sz w:val="28"/>
          <w:szCs w:val="28"/>
        </w:rPr>
        <w:t xml:space="preserve"> </w:t>
      </w:r>
      <w:r w:rsidRPr="00653671">
        <w:rPr>
          <w:sz w:val="28"/>
          <w:szCs w:val="28"/>
        </w:rPr>
        <w:t xml:space="preserve">по обеспечению электрической энергией, газом и паром; кондиционированию воздуха за январь-май 2025 года составил </w:t>
      </w:r>
      <w:r w:rsidRPr="00653671">
        <w:rPr>
          <w:iCs/>
          <w:sz w:val="28"/>
          <w:szCs w:val="28"/>
        </w:rPr>
        <w:t>105</w:t>
      </w:r>
      <w:r w:rsidR="00063628">
        <w:rPr>
          <w:iCs/>
          <w:sz w:val="28"/>
          <w:szCs w:val="28"/>
        </w:rPr>
        <w:t> </w:t>
      </w:r>
      <w:r w:rsidRPr="00653671">
        <w:rPr>
          <w:iCs/>
          <w:sz w:val="28"/>
          <w:szCs w:val="28"/>
        </w:rPr>
        <w:t xml:space="preserve">110 </w:t>
      </w:r>
      <w:proofErr w:type="gramStart"/>
      <w:r w:rsidRPr="00653671">
        <w:rPr>
          <w:sz w:val="28"/>
          <w:szCs w:val="28"/>
        </w:rPr>
        <w:t>млн</w:t>
      </w:r>
      <w:proofErr w:type="gramEnd"/>
      <w:r w:rsidRPr="00653671">
        <w:rPr>
          <w:sz w:val="28"/>
          <w:szCs w:val="28"/>
        </w:rPr>
        <w:t xml:space="preserve"> рублей или </w:t>
      </w:r>
      <w:r w:rsidRPr="00653671">
        <w:rPr>
          <w:b/>
          <w:sz w:val="28"/>
          <w:szCs w:val="28"/>
        </w:rPr>
        <w:t>107,9%</w:t>
      </w:r>
      <w:r w:rsidRPr="00653671">
        <w:rPr>
          <w:sz w:val="28"/>
          <w:szCs w:val="28"/>
        </w:rPr>
        <w:t xml:space="preserve"> к январю-маю 2024 года в действующих ценах. Индекс промышленного производства составил </w:t>
      </w:r>
      <w:r w:rsidRPr="00653671">
        <w:rPr>
          <w:b/>
          <w:sz w:val="28"/>
          <w:szCs w:val="28"/>
        </w:rPr>
        <w:t>100,7%.</w:t>
      </w:r>
      <w:r w:rsidRPr="00653671">
        <w:rPr>
          <w:bCs/>
          <w:sz w:val="28"/>
          <w:szCs w:val="28"/>
        </w:rPr>
        <w:t xml:space="preserve"> </w:t>
      </w:r>
    </w:p>
    <w:p w:rsidR="00653671" w:rsidRPr="00653671" w:rsidRDefault="00653671" w:rsidP="00653671">
      <w:pPr>
        <w:spacing w:line="228" w:lineRule="auto"/>
        <w:ind w:firstLine="709"/>
        <w:jc w:val="both"/>
        <w:rPr>
          <w:sz w:val="28"/>
          <w:szCs w:val="28"/>
        </w:rPr>
      </w:pPr>
      <w:r w:rsidRPr="00653671">
        <w:rPr>
          <w:b/>
          <w:i/>
          <w:sz w:val="28"/>
          <w:szCs w:val="28"/>
        </w:rPr>
        <w:t>Водоснабжение; водоотведение, организация сбора и утилизации отходов, деятельность по ликвидации загрязнений</w:t>
      </w:r>
      <w:r w:rsidRPr="00653671">
        <w:rPr>
          <w:b/>
          <w:sz w:val="28"/>
          <w:szCs w:val="28"/>
        </w:rPr>
        <w:t>.</w:t>
      </w:r>
      <w:r w:rsidRPr="00653671">
        <w:rPr>
          <w:b/>
          <w:bCs/>
          <w:i/>
          <w:sz w:val="28"/>
          <w:szCs w:val="28"/>
        </w:rPr>
        <w:t xml:space="preserve"> </w:t>
      </w:r>
      <w:r w:rsidRPr="00653671">
        <w:rPr>
          <w:sz w:val="28"/>
          <w:szCs w:val="28"/>
        </w:rPr>
        <w:t>Объем отгруженных товаров собственного производства, выполненных работ и услуг</w:t>
      </w:r>
      <w:r w:rsidRPr="00653671">
        <w:rPr>
          <w:i/>
          <w:sz w:val="28"/>
          <w:szCs w:val="28"/>
        </w:rPr>
        <w:t xml:space="preserve"> </w:t>
      </w:r>
      <w:r w:rsidRPr="00653671">
        <w:rPr>
          <w:sz w:val="28"/>
          <w:szCs w:val="28"/>
        </w:rPr>
        <w:t>по водоснабжению; водоотведению, организации сбора и утилизации отходов, деятельности по ликвидации загрязнений за январь-май 2025 года составил 16</w:t>
      </w:r>
      <w:r w:rsidR="00063628">
        <w:rPr>
          <w:sz w:val="28"/>
          <w:szCs w:val="28"/>
        </w:rPr>
        <w:t> </w:t>
      </w:r>
      <w:r w:rsidRPr="00653671">
        <w:rPr>
          <w:sz w:val="28"/>
          <w:szCs w:val="28"/>
        </w:rPr>
        <w:t xml:space="preserve">321 </w:t>
      </w:r>
      <w:proofErr w:type="gramStart"/>
      <w:r w:rsidRPr="00653671">
        <w:rPr>
          <w:sz w:val="28"/>
          <w:szCs w:val="28"/>
        </w:rPr>
        <w:t>млн</w:t>
      </w:r>
      <w:proofErr w:type="gramEnd"/>
      <w:r w:rsidRPr="00653671">
        <w:rPr>
          <w:sz w:val="28"/>
          <w:szCs w:val="28"/>
        </w:rPr>
        <w:t xml:space="preserve"> рублей или </w:t>
      </w:r>
      <w:r w:rsidRPr="00653671">
        <w:rPr>
          <w:b/>
          <w:sz w:val="28"/>
          <w:szCs w:val="28"/>
        </w:rPr>
        <w:t>124,7%</w:t>
      </w:r>
      <w:r w:rsidRPr="00653671">
        <w:rPr>
          <w:sz w:val="28"/>
          <w:szCs w:val="28"/>
        </w:rPr>
        <w:t xml:space="preserve"> к январю-маю 2024 года в действующих ценах. Индекс промышленного производства составил </w:t>
      </w:r>
      <w:r w:rsidRPr="00653671">
        <w:rPr>
          <w:b/>
          <w:sz w:val="28"/>
          <w:szCs w:val="28"/>
        </w:rPr>
        <w:t>115,5%.</w:t>
      </w:r>
      <w:r w:rsidRPr="00653671">
        <w:rPr>
          <w:sz w:val="28"/>
          <w:szCs w:val="28"/>
        </w:rPr>
        <w:t xml:space="preserve"> </w:t>
      </w:r>
    </w:p>
    <w:p w:rsidR="00076410" w:rsidRDefault="00076410" w:rsidP="00076410">
      <w:pPr>
        <w:ind w:firstLine="709"/>
        <w:jc w:val="both"/>
        <w:rPr>
          <w:sz w:val="28"/>
          <w:szCs w:val="28"/>
        </w:rPr>
      </w:pPr>
      <w:r w:rsidRPr="00076410">
        <w:rPr>
          <w:b/>
          <w:sz w:val="28"/>
          <w:szCs w:val="28"/>
        </w:rPr>
        <w:t>Объем производства продукции сельского</w:t>
      </w:r>
      <w:r w:rsidRPr="00076410">
        <w:rPr>
          <w:sz w:val="28"/>
          <w:szCs w:val="28"/>
        </w:rPr>
        <w:t xml:space="preserve"> </w:t>
      </w:r>
      <w:r w:rsidRPr="00063628">
        <w:rPr>
          <w:b/>
          <w:sz w:val="28"/>
          <w:szCs w:val="28"/>
        </w:rPr>
        <w:t>хозяйства</w:t>
      </w:r>
      <w:r w:rsidRPr="00076410">
        <w:rPr>
          <w:sz w:val="28"/>
          <w:szCs w:val="28"/>
        </w:rPr>
        <w:t xml:space="preserve"> в Ленинградской области в январе-мае 2025 года составил 59,0 </w:t>
      </w:r>
      <w:proofErr w:type="gramStart"/>
      <w:r w:rsidRPr="00076410">
        <w:rPr>
          <w:sz w:val="28"/>
          <w:szCs w:val="28"/>
        </w:rPr>
        <w:t>мл</w:t>
      </w:r>
      <w:r w:rsidRPr="00063628">
        <w:rPr>
          <w:sz w:val="28"/>
          <w:szCs w:val="28"/>
        </w:rPr>
        <w:t>рд</w:t>
      </w:r>
      <w:proofErr w:type="gramEnd"/>
      <w:r w:rsidRPr="00076410">
        <w:rPr>
          <w:sz w:val="28"/>
          <w:szCs w:val="28"/>
        </w:rPr>
        <w:t xml:space="preserve"> рублей, что в сопоставимых ценах на </w:t>
      </w:r>
      <w:r w:rsidRPr="00076410">
        <w:rPr>
          <w:b/>
          <w:sz w:val="28"/>
          <w:szCs w:val="28"/>
        </w:rPr>
        <w:t>1,6%</w:t>
      </w:r>
      <w:r w:rsidRPr="00076410">
        <w:rPr>
          <w:sz w:val="28"/>
          <w:szCs w:val="28"/>
        </w:rPr>
        <w:t xml:space="preserve"> выше уровня января-мая 2024 года. </w:t>
      </w:r>
    </w:p>
    <w:p w:rsidR="00DA4ED3" w:rsidRPr="00DA4ED3" w:rsidRDefault="00DA4ED3" w:rsidP="00DA4ED3">
      <w:pPr>
        <w:ind w:firstLine="709"/>
        <w:jc w:val="both"/>
        <w:rPr>
          <w:b/>
          <w:i/>
          <w:sz w:val="28"/>
          <w:szCs w:val="28"/>
        </w:rPr>
      </w:pPr>
      <w:r w:rsidRPr="00DA4ED3">
        <w:rPr>
          <w:b/>
          <w:i/>
          <w:sz w:val="28"/>
          <w:szCs w:val="28"/>
        </w:rPr>
        <w:t xml:space="preserve">Растениеводство </w:t>
      </w:r>
    </w:p>
    <w:p w:rsidR="00DA4ED3" w:rsidRPr="00DA4ED3" w:rsidRDefault="00DA4ED3" w:rsidP="00DA4ED3">
      <w:pPr>
        <w:ind w:firstLine="709"/>
        <w:jc w:val="both"/>
        <w:rPr>
          <w:iCs/>
          <w:sz w:val="28"/>
          <w:szCs w:val="28"/>
        </w:rPr>
      </w:pPr>
      <w:r w:rsidRPr="00DA4ED3">
        <w:rPr>
          <w:sz w:val="28"/>
          <w:szCs w:val="28"/>
        </w:rPr>
        <w:t>По предварительным данным п</w:t>
      </w:r>
      <w:r w:rsidRPr="00DA4ED3">
        <w:rPr>
          <w:iCs/>
          <w:sz w:val="28"/>
          <w:szCs w:val="28"/>
        </w:rPr>
        <w:t xml:space="preserve">о состоянию на 1 июня текущего года в хозяйствах всех категорий яровые культуры посеяны на площади 49,1 тыс. га, на 11,7 % меньше, чем год назад. </w:t>
      </w:r>
    </w:p>
    <w:p w:rsidR="00DA4ED3" w:rsidRPr="00DA4ED3" w:rsidRDefault="00DA4ED3" w:rsidP="00DA4ED3">
      <w:pPr>
        <w:ind w:firstLine="709"/>
        <w:jc w:val="both"/>
        <w:rPr>
          <w:iCs/>
          <w:sz w:val="28"/>
          <w:szCs w:val="28"/>
        </w:rPr>
      </w:pPr>
      <w:r w:rsidRPr="00DA4ED3">
        <w:rPr>
          <w:iCs/>
          <w:sz w:val="28"/>
          <w:szCs w:val="28"/>
        </w:rPr>
        <w:t xml:space="preserve">К началу июня на фермеров и хозяйства населения приходилось 25,3% общих посевов, в том числе 90,6% – картофеля и 86,5% – овощей. </w:t>
      </w:r>
    </w:p>
    <w:p w:rsidR="00DA4ED3" w:rsidRPr="00DA4ED3" w:rsidRDefault="00DA4ED3" w:rsidP="00DA4ED3">
      <w:pPr>
        <w:ind w:firstLine="709"/>
        <w:jc w:val="both"/>
        <w:rPr>
          <w:iCs/>
          <w:sz w:val="28"/>
          <w:szCs w:val="28"/>
        </w:rPr>
      </w:pPr>
      <w:r w:rsidRPr="00DA4ED3">
        <w:rPr>
          <w:iCs/>
          <w:sz w:val="28"/>
          <w:szCs w:val="28"/>
        </w:rPr>
        <w:t xml:space="preserve">В сельскохозяйственных организациях собрано 14,4 тыс. тонн овощей закрытого грунта, что на 7,1 % больше, чем год назад. </w:t>
      </w:r>
    </w:p>
    <w:p w:rsidR="000519B7" w:rsidRPr="00E7298F" w:rsidRDefault="000519B7" w:rsidP="00DA4ED3">
      <w:pPr>
        <w:shd w:val="clear" w:color="auto" w:fill="FFFFFF" w:themeFill="background1"/>
        <w:jc w:val="both"/>
        <w:rPr>
          <w:sz w:val="12"/>
          <w:szCs w:val="28"/>
          <w:highlight w:val="yellow"/>
        </w:rPr>
      </w:pPr>
    </w:p>
    <w:p w:rsidR="000519B7" w:rsidRPr="00DA4ED3" w:rsidRDefault="000519B7" w:rsidP="00C0148E">
      <w:pPr>
        <w:shd w:val="clear" w:color="auto" w:fill="FFFFFF" w:themeFill="background1"/>
        <w:tabs>
          <w:tab w:val="left" w:pos="1418"/>
        </w:tabs>
        <w:ind w:firstLine="709"/>
        <w:rPr>
          <w:b/>
          <w:i/>
          <w:iCs/>
          <w:sz w:val="28"/>
        </w:rPr>
      </w:pPr>
      <w:r w:rsidRPr="00DA4ED3">
        <w:rPr>
          <w:b/>
          <w:i/>
          <w:iCs/>
          <w:sz w:val="28"/>
        </w:rPr>
        <w:t>Животноводство</w:t>
      </w:r>
    </w:p>
    <w:p w:rsidR="000519B7" w:rsidRPr="00E7298F" w:rsidRDefault="000519B7" w:rsidP="00C0148E">
      <w:pPr>
        <w:shd w:val="clear" w:color="auto" w:fill="FFFFFF" w:themeFill="background1"/>
        <w:tabs>
          <w:tab w:val="left" w:pos="1418"/>
        </w:tabs>
        <w:jc w:val="both"/>
        <w:rPr>
          <w:b/>
          <w:i/>
          <w:iCs/>
          <w:sz w:val="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420"/>
        <w:gridCol w:w="1494"/>
        <w:gridCol w:w="2049"/>
        <w:gridCol w:w="1560"/>
        <w:gridCol w:w="1526"/>
      </w:tblGrid>
      <w:tr w:rsidR="00F222C4" w:rsidRPr="00F222C4" w:rsidTr="008F473A">
        <w:trPr>
          <w:tblHeader/>
          <w:jc w:val="center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Произведено во всех категориях хозяйств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Продуктивность в крупных, средних и малых </w:t>
            </w:r>
            <w:proofErr w:type="spellStart"/>
            <w:r w:rsidRPr="00F222C4">
              <w:rPr>
                <w:bCs/>
                <w:iCs/>
                <w:sz w:val="24"/>
                <w:szCs w:val="24"/>
                <w:lang w:eastAsia="en-US"/>
              </w:rPr>
              <w:t>сельхозорганизациях</w:t>
            </w:r>
            <w:proofErr w:type="spellEnd"/>
          </w:p>
        </w:tc>
      </w:tr>
      <w:tr w:rsidR="00F222C4" w:rsidRPr="00F222C4" w:rsidTr="008F473A">
        <w:trPr>
          <w:tblHeader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Январь-май 2025 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 % к соотв. </w:t>
            </w: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периоду</w:t>
            </w:r>
            <w:proofErr w:type="gramEnd"/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Январь-май 2025 г.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 % к соотв. </w:t>
            </w: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периоду</w:t>
            </w:r>
            <w:proofErr w:type="gramEnd"/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 2024 г.</w:t>
            </w:r>
          </w:p>
        </w:tc>
      </w:tr>
      <w:tr w:rsidR="00F222C4" w:rsidRPr="00F222C4" w:rsidTr="008F473A">
        <w:trPr>
          <w:trHeight w:val="78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мясо (скот и птица на убой в живом весе), тыс. тонн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158,8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надой на одну корову, </w:t>
            </w: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кг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4415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decimal" w:pos="566"/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99,7</w:t>
            </w:r>
          </w:p>
        </w:tc>
      </w:tr>
      <w:tr w:rsidR="00F222C4" w:rsidRPr="00F222C4" w:rsidTr="008F473A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Молоко, тыс. тонн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302,1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100,3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Средняя яйценоскость одной курицы-несушки, шт.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decimal" w:pos="566"/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99,2</w:t>
            </w:r>
          </w:p>
        </w:tc>
      </w:tr>
      <w:tr w:rsidR="00F222C4" w:rsidRPr="00F222C4" w:rsidTr="008F473A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яйцо, </w:t>
            </w:r>
            <w:proofErr w:type="gramStart"/>
            <w:r w:rsidRPr="00F222C4">
              <w:rPr>
                <w:bCs/>
                <w:iCs/>
                <w:sz w:val="24"/>
                <w:szCs w:val="24"/>
                <w:lang w:eastAsia="en-US"/>
              </w:rPr>
              <w:t>млн</w:t>
            </w:r>
            <w:proofErr w:type="gramEnd"/>
            <w:r w:rsidRPr="00F222C4">
              <w:rPr>
                <w:bCs/>
                <w:iCs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1530,3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tabs>
                <w:tab w:val="left" w:pos="708"/>
                <w:tab w:val="left" w:pos="1418"/>
              </w:tabs>
              <w:ind w:left="72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F222C4">
              <w:rPr>
                <w:bCs/>
                <w:iCs/>
                <w:sz w:val="24"/>
                <w:szCs w:val="24"/>
                <w:lang w:eastAsia="en-US"/>
              </w:rPr>
              <w:t>103,4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C4" w:rsidRPr="00F222C4" w:rsidRDefault="00F222C4" w:rsidP="00F222C4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4" w:rsidRPr="00F222C4" w:rsidRDefault="00F222C4" w:rsidP="00F222C4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0519B7" w:rsidRPr="00E7298F" w:rsidRDefault="000519B7" w:rsidP="00C0148E">
      <w:pPr>
        <w:shd w:val="clear" w:color="auto" w:fill="FFFFFF" w:themeFill="background1"/>
        <w:tabs>
          <w:tab w:val="left" w:pos="1418"/>
        </w:tabs>
        <w:ind w:firstLine="709"/>
        <w:jc w:val="both"/>
        <w:rPr>
          <w:sz w:val="28"/>
          <w:highlight w:val="yellow"/>
        </w:rPr>
      </w:pPr>
    </w:p>
    <w:p w:rsidR="004D4185" w:rsidRPr="004D4185" w:rsidRDefault="004D4185" w:rsidP="004D4185">
      <w:pPr>
        <w:tabs>
          <w:tab w:val="left" w:pos="1418"/>
        </w:tabs>
        <w:ind w:firstLine="709"/>
        <w:jc w:val="both"/>
        <w:rPr>
          <w:sz w:val="28"/>
        </w:rPr>
      </w:pPr>
      <w:r w:rsidRPr="004D4185">
        <w:rPr>
          <w:sz w:val="28"/>
        </w:rPr>
        <w:t>Хозяйствами населения и фермерами произведено 2,7% скота и птицы на убой (в живом весе), 5,7% молока и 1,8% яиц.</w:t>
      </w:r>
    </w:p>
    <w:p w:rsidR="004D4185" w:rsidRPr="004D4185" w:rsidRDefault="004D4185" w:rsidP="004D4185">
      <w:pPr>
        <w:tabs>
          <w:tab w:val="left" w:pos="1418"/>
        </w:tabs>
        <w:ind w:firstLine="709"/>
        <w:jc w:val="both"/>
        <w:rPr>
          <w:sz w:val="28"/>
        </w:rPr>
      </w:pPr>
      <w:r w:rsidRPr="004D4185">
        <w:rPr>
          <w:sz w:val="28"/>
        </w:rPr>
        <w:t>Всеми сельхозпроизводителями области реализовано в январе-мае 2025 года: 155,1 тыс. т</w:t>
      </w:r>
      <w:r w:rsidR="00063628">
        <w:rPr>
          <w:sz w:val="28"/>
        </w:rPr>
        <w:t>онн</w:t>
      </w:r>
      <w:r w:rsidRPr="004D4185">
        <w:rPr>
          <w:sz w:val="28"/>
        </w:rPr>
        <w:t xml:space="preserve"> мяса (скота и птицы в живом весе) или </w:t>
      </w:r>
      <w:r w:rsidRPr="004D4185">
        <w:rPr>
          <w:b/>
          <w:sz w:val="28"/>
        </w:rPr>
        <w:t>102,4%</w:t>
      </w:r>
      <w:r w:rsidRPr="004D4185">
        <w:rPr>
          <w:sz w:val="28"/>
        </w:rPr>
        <w:t>; 278,0 тыс. т</w:t>
      </w:r>
      <w:r w:rsidR="00063628">
        <w:rPr>
          <w:sz w:val="28"/>
        </w:rPr>
        <w:t>онн</w:t>
      </w:r>
      <w:r w:rsidRPr="004D4185">
        <w:rPr>
          <w:sz w:val="28"/>
        </w:rPr>
        <w:t xml:space="preserve"> молока или </w:t>
      </w:r>
      <w:r w:rsidRPr="004D4185">
        <w:rPr>
          <w:b/>
          <w:sz w:val="28"/>
        </w:rPr>
        <w:t>100,5%</w:t>
      </w:r>
      <w:r w:rsidRPr="004D4185">
        <w:rPr>
          <w:sz w:val="28"/>
        </w:rPr>
        <w:t xml:space="preserve">; 1295,8 </w:t>
      </w:r>
      <w:proofErr w:type="gramStart"/>
      <w:r w:rsidRPr="004D4185">
        <w:rPr>
          <w:sz w:val="28"/>
        </w:rPr>
        <w:t>млн</w:t>
      </w:r>
      <w:proofErr w:type="gramEnd"/>
      <w:r w:rsidRPr="004D4185">
        <w:rPr>
          <w:sz w:val="28"/>
        </w:rPr>
        <w:t xml:space="preserve"> штук яиц или </w:t>
      </w:r>
      <w:r w:rsidRPr="004D4185">
        <w:rPr>
          <w:b/>
          <w:sz w:val="28"/>
        </w:rPr>
        <w:t>99,8%</w:t>
      </w:r>
      <w:r w:rsidRPr="004D4185">
        <w:rPr>
          <w:sz w:val="28"/>
        </w:rPr>
        <w:t xml:space="preserve"> к январю-маю 2024 года.</w:t>
      </w:r>
    </w:p>
    <w:p w:rsidR="000519B7" w:rsidRPr="00E7298F" w:rsidRDefault="000519B7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  <w:highlight w:val="yellow"/>
        </w:rPr>
      </w:pPr>
    </w:p>
    <w:p w:rsidR="00BD3492" w:rsidRDefault="00BD3492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</w:p>
    <w:p w:rsidR="00BD3492" w:rsidRDefault="00BD3492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</w:p>
    <w:p w:rsidR="00BD3492" w:rsidRDefault="00BD3492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</w:p>
    <w:p w:rsidR="00BD3492" w:rsidRDefault="00BD3492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</w:p>
    <w:p w:rsidR="000519B7" w:rsidRPr="00133A08" w:rsidRDefault="000519B7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  <w:r w:rsidRPr="00133A08">
        <w:rPr>
          <w:b/>
          <w:i/>
          <w:iCs/>
          <w:sz w:val="28"/>
        </w:rPr>
        <w:lastRenderedPageBreak/>
        <w:t>Поголовье в хозяйствах всех категорий</w:t>
      </w:r>
    </w:p>
    <w:p w:rsidR="000519B7" w:rsidRPr="00133A08" w:rsidRDefault="000519B7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28"/>
        </w:rPr>
      </w:pPr>
      <w:r w:rsidRPr="00133A08">
        <w:rPr>
          <w:b/>
          <w:i/>
          <w:iCs/>
          <w:sz w:val="28"/>
        </w:rPr>
        <w:t>(по состоянию на 1 июня 202</w:t>
      </w:r>
      <w:r w:rsidR="008F473A">
        <w:rPr>
          <w:b/>
          <w:i/>
          <w:iCs/>
          <w:sz w:val="28"/>
        </w:rPr>
        <w:t>5</w:t>
      </w:r>
      <w:r w:rsidRPr="00133A08">
        <w:rPr>
          <w:b/>
          <w:i/>
          <w:iCs/>
          <w:sz w:val="28"/>
        </w:rPr>
        <w:t xml:space="preserve"> года)</w:t>
      </w:r>
    </w:p>
    <w:p w:rsidR="000519B7" w:rsidRPr="00133A08" w:rsidRDefault="000519B7" w:rsidP="00C0148E">
      <w:pPr>
        <w:shd w:val="clear" w:color="auto" w:fill="FFFFFF" w:themeFill="background1"/>
        <w:tabs>
          <w:tab w:val="left" w:pos="1418"/>
        </w:tabs>
        <w:jc w:val="center"/>
        <w:rPr>
          <w:b/>
          <w:i/>
          <w:iCs/>
          <w:sz w:val="14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345"/>
        <w:gridCol w:w="4788"/>
      </w:tblGrid>
      <w:tr w:rsidR="00133A08" w:rsidRPr="00133A08" w:rsidTr="008F473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Тыс. голов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133A08">
              <w:rPr>
                <w:bCs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133A08">
              <w:rPr>
                <w:bCs/>
                <w:iCs/>
                <w:sz w:val="24"/>
                <w:szCs w:val="24"/>
                <w:lang w:eastAsia="en-US"/>
              </w:rPr>
              <w:t xml:space="preserve"> % </w:t>
            </w:r>
            <w:proofErr w:type="gramStart"/>
            <w:r w:rsidRPr="00133A08">
              <w:rPr>
                <w:bCs/>
                <w:iCs/>
                <w:sz w:val="24"/>
                <w:szCs w:val="24"/>
                <w:lang w:eastAsia="en-US"/>
              </w:rPr>
              <w:t>к</w:t>
            </w:r>
            <w:proofErr w:type="gramEnd"/>
            <w:r w:rsidRPr="00133A08">
              <w:rPr>
                <w:bCs/>
                <w:iCs/>
                <w:sz w:val="24"/>
                <w:szCs w:val="24"/>
                <w:lang w:eastAsia="en-US"/>
              </w:rPr>
              <w:t xml:space="preserve"> аналогичному периоду 2024 г.</w:t>
            </w:r>
          </w:p>
        </w:tc>
      </w:tr>
      <w:tr w:rsidR="00133A08" w:rsidRPr="00133A08" w:rsidTr="008F473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Крупный рогатый скот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187,1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107,2</w:t>
            </w:r>
          </w:p>
        </w:tc>
      </w:tr>
      <w:tr w:rsidR="00133A08" w:rsidRPr="00133A08" w:rsidTr="008F473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 xml:space="preserve">Свиньи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183,6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100,4</w:t>
            </w:r>
          </w:p>
        </w:tc>
      </w:tr>
      <w:tr w:rsidR="00133A08" w:rsidRPr="00133A08" w:rsidTr="008F473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Птица (млн. голов)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33,9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8" w:rsidRPr="00133A08" w:rsidRDefault="00133A08" w:rsidP="00133A08">
            <w:pPr>
              <w:tabs>
                <w:tab w:val="left" w:pos="708"/>
                <w:tab w:val="left" w:pos="1418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133A08">
              <w:rPr>
                <w:bCs/>
                <w:iCs/>
                <w:sz w:val="24"/>
                <w:szCs w:val="24"/>
                <w:lang w:eastAsia="en-US"/>
              </w:rPr>
              <w:t>105,5</w:t>
            </w:r>
          </w:p>
        </w:tc>
      </w:tr>
    </w:tbl>
    <w:p w:rsidR="000519B7" w:rsidRPr="00E7298F" w:rsidRDefault="000519B7" w:rsidP="00C0148E">
      <w:pPr>
        <w:widowControl w:val="0"/>
        <w:shd w:val="clear" w:color="auto" w:fill="FFFFFF" w:themeFill="background1"/>
        <w:tabs>
          <w:tab w:val="left" w:pos="2851"/>
        </w:tabs>
        <w:ind w:firstLine="709"/>
        <w:jc w:val="both"/>
        <w:rPr>
          <w:sz w:val="28"/>
          <w:szCs w:val="28"/>
          <w:highlight w:val="yellow"/>
        </w:rPr>
      </w:pPr>
    </w:p>
    <w:p w:rsidR="00A23831" w:rsidRPr="00A23831" w:rsidRDefault="00A23831" w:rsidP="00A23831">
      <w:pPr>
        <w:widowControl w:val="0"/>
        <w:tabs>
          <w:tab w:val="left" w:pos="2851"/>
        </w:tabs>
        <w:ind w:firstLine="709"/>
        <w:jc w:val="both"/>
        <w:rPr>
          <w:sz w:val="28"/>
          <w:szCs w:val="28"/>
        </w:rPr>
      </w:pPr>
      <w:r w:rsidRPr="00A23831">
        <w:rPr>
          <w:sz w:val="28"/>
          <w:szCs w:val="28"/>
        </w:rPr>
        <w:t>К концу мая 2025 года на хозяйства населения и фермеров приходилось 13,2% поголовья крупного рогатого скота, 3,1% – свиней, 75,7% – овец и коз.</w:t>
      </w:r>
    </w:p>
    <w:p w:rsidR="00D707C3" w:rsidRDefault="00D707C3" w:rsidP="00C0148E">
      <w:pPr>
        <w:widowControl w:val="0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:rsidR="00D707C3" w:rsidRPr="00D707C3" w:rsidRDefault="00D707C3" w:rsidP="00D707C3">
      <w:pPr>
        <w:widowControl w:val="0"/>
        <w:ind w:firstLine="709"/>
        <w:jc w:val="both"/>
        <w:rPr>
          <w:sz w:val="28"/>
          <w:szCs w:val="28"/>
        </w:rPr>
      </w:pPr>
      <w:r w:rsidRPr="00D707C3">
        <w:rPr>
          <w:b/>
          <w:sz w:val="28"/>
          <w:szCs w:val="28"/>
        </w:rPr>
        <w:t>Объем услуг по транспортировке и хранению</w:t>
      </w:r>
      <w:r w:rsidRPr="00D707C3">
        <w:rPr>
          <w:sz w:val="28"/>
          <w:szCs w:val="28"/>
        </w:rPr>
        <w:t xml:space="preserve">, оказанных организациями Ленинградской области (без субъектов малого предпринимательства), в январе-мае </w:t>
      </w:r>
      <w:r w:rsidR="00063628">
        <w:rPr>
          <w:sz w:val="28"/>
          <w:szCs w:val="28"/>
        </w:rPr>
        <w:t xml:space="preserve">2025 года составил 142,2 </w:t>
      </w:r>
      <w:proofErr w:type="gramStart"/>
      <w:r w:rsidR="00063628">
        <w:rPr>
          <w:sz w:val="28"/>
          <w:szCs w:val="28"/>
        </w:rPr>
        <w:t>млр</w:t>
      </w:r>
      <w:r w:rsidR="00063628" w:rsidRPr="00063628">
        <w:rPr>
          <w:sz w:val="28"/>
          <w:szCs w:val="28"/>
        </w:rPr>
        <w:t>д</w:t>
      </w:r>
      <w:proofErr w:type="gramEnd"/>
      <w:r w:rsidRPr="00D707C3">
        <w:rPr>
          <w:sz w:val="28"/>
          <w:szCs w:val="28"/>
        </w:rPr>
        <w:t xml:space="preserve"> рублей в действующи</w:t>
      </w:r>
      <w:r w:rsidR="00063628">
        <w:rPr>
          <w:sz w:val="28"/>
          <w:szCs w:val="28"/>
        </w:rPr>
        <w:t xml:space="preserve">х ценах, снизился по сравнению </w:t>
      </w:r>
      <w:r w:rsidRPr="00D707C3">
        <w:rPr>
          <w:sz w:val="28"/>
          <w:szCs w:val="28"/>
        </w:rPr>
        <w:t xml:space="preserve">с январем-маем 2024 года на </w:t>
      </w:r>
      <w:r w:rsidRPr="00D707C3">
        <w:rPr>
          <w:b/>
          <w:sz w:val="28"/>
          <w:szCs w:val="28"/>
        </w:rPr>
        <w:t>5,6%.</w:t>
      </w:r>
    </w:p>
    <w:p w:rsidR="00D707C3" w:rsidRPr="00D707C3" w:rsidRDefault="00D707C3" w:rsidP="00D707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707C3">
        <w:rPr>
          <w:sz w:val="28"/>
          <w:szCs w:val="28"/>
        </w:rPr>
        <w:t>По оперативным данным, полученным от Октябрьской железной дороги - филиала ОАО «РЖД», объем погрузки предприятиями – грузоотправителями обла</w:t>
      </w:r>
      <w:r w:rsidR="00063628">
        <w:rPr>
          <w:sz w:val="28"/>
          <w:szCs w:val="28"/>
        </w:rPr>
        <w:t>сти в январе</w:t>
      </w:r>
      <w:r w:rsidRPr="00D707C3">
        <w:rPr>
          <w:sz w:val="28"/>
          <w:szCs w:val="28"/>
        </w:rPr>
        <w:t>-</w:t>
      </w:r>
      <w:r w:rsidR="00063628">
        <w:rPr>
          <w:sz w:val="28"/>
          <w:szCs w:val="28"/>
        </w:rPr>
        <w:t>мае 2025 года составил 9 </w:t>
      </w:r>
      <w:r w:rsidRPr="00D707C3">
        <w:rPr>
          <w:sz w:val="28"/>
          <w:szCs w:val="28"/>
        </w:rPr>
        <w:t>998,0 тыс.</w:t>
      </w:r>
      <w:r w:rsidR="00063628">
        <w:rPr>
          <w:sz w:val="28"/>
          <w:szCs w:val="28"/>
        </w:rPr>
        <w:t xml:space="preserve"> тонн, снижение погрузки на 1,5% к январю-маю 2024 года (10 </w:t>
      </w:r>
      <w:r w:rsidRPr="00D707C3">
        <w:rPr>
          <w:sz w:val="28"/>
          <w:szCs w:val="28"/>
        </w:rPr>
        <w:t>148,2 тыс. тонн).</w:t>
      </w:r>
    </w:p>
    <w:p w:rsidR="00D707C3" w:rsidRPr="00D707C3" w:rsidRDefault="00D707C3" w:rsidP="00D707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707C3">
        <w:rPr>
          <w:sz w:val="28"/>
          <w:szCs w:val="28"/>
        </w:rPr>
        <w:t>Согласно отчета ОАО «Северо-Западная пригородная пассажирская компания» о производственно-экономических показателях в мае 2025 года количество пассажиров, перевез</w:t>
      </w:r>
      <w:r w:rsidR="008F473A">
        <w:rPr>
          <w:sz w:val="28"/>
          <w:szCs w:val="28"/>
        </w:rPr>
        <w:t>е</w:t>
      </w:r>
      <w:r w:rsidRPr="00D707C3">
        <w:rPr>
          <w:sz w:val="28"/>
          <w:szCs w:val="28"/>
        </w:rPr>
        <w:t>нных в пригородном сообщении по Ленинградской области, составило 19</w:t>
      </w:r>
      <w:r w:rsidR="00063628">
        <w:rPr>
          <w:sz w:val="28"/>
          <w:szCs w:val="28"/>
        </w:rPr>
        <w:t> </w:t>
      </w:r>
      <w:r w:rsidRPr="00D707C3">
        <w:rPr>
          <w:sz w:val="28"/>
          <w:szCs w:val="28"/>
        </w:rPr>
        <w:t>022,0 тыс. человек (</w:t>
      </w:r>
      <w:r w:rsidRPr="00D707C3">
        <w:rPr>
          <w:b/>
          <w:sz w:val="28"/>
        </w:rPr>
        <w:t>103,0%</w:t>
      </w:r>
      <w:r w:rsidRPr="00D707C3">
        <w:rPr>
          <w:sz w:val="28"/>
          <w:szCs w:val="28"/>
        </w:rPr>
        <w:t xml:space="preserve"> к 2024 году), при общем пассажирообороте 1</w:t>
      </w:r>
      <w:r w:rsidR="00063628">
        <w:rPr>
          <w:sz w:val="28"/>
          <w:szCs w:val="28"/>
        </w:rPr>
        <w:t> </w:t>
      </w:r>
      <w:r w:rsidRPr="00D707C3">
        <w:rPr>
          <w:sz w:val="28"/>
          <w:szCs w:val="28"/>
        </w:rPr>
        <w:t xml:space="preserve">349 </w:t>
      </w:r>
      <w:proofErr w:type="gramStart"/>
      <w:r w:rsidRPr="00D707C3">
        <w:rPr>
          <w:sz w:val="28"/>
          <w:szCs w:val="28"/>
        </w:rPr>
        <w:t>млн</w:t>
      </w:r>
      <w:proofErr w:type="gramEnd"/>
      <w:r w:rsidRPr="00D707C3">
        <w:rPr>
          <w:sz w:val="28"/>
          <w:szCs w:val="28"/>
        </w:rPr>
        <w:t xml:space="preserve"> пасс. - км (104,0% к 2024 году).</w:t>
      </w:r>
      <w:r w:rsidRPr="00D707C3">
        <w:rPr>
          <w:sz w:val="28"/>
          <w:szCs w:val="28"/>
        </w:rPr>
        <w:tab/>
        <w:t xml:space="preserve"> </w:t>
      </w:r>
    </w:p>
    <w:p w:rsidR="00D707C3" w:rsidRPr="00D707C3" w:rsidRDefault="00D707C3" w:rsidP="00D707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707C3">
        <w:rPr>
          <w:rFonts w:eastAsia="Calibri"/>
          <w:sz w:val="28"/>
          <w:szCs w:val="28"/>
        </w:rPr>
        <w:t xml:space="preserve">В январе-мае 2025 года </w:t>
      </w:r>
      <w:r w:rsidRPr="00D707C3">
        <w:rPr>
          <w:rFonts w:eastAsia="Calibri"/>
          <w:i/>
          <w:iCs/>
          <w:sz w:val="28"/>
          <w:szCs w:val="28"/>
        </w:rPr>
        <w:t>автомобильным транспортом организаций</w:t>
      </w:r>
      <w:r w:rsidRPr="00D707C3">
        <w:rPr>
          <w:rFonts w:eastAsia="Calibri"/>
          <w:sz w:val="28"/>
          <w:szCs w:val="28"/>
        </w:rPr>
        <w:t xml:space="preserve"> (без субъектов малого предпринимательства) перевезено 3,7 </w:t>
      </w:r>
      <w:proofErr w:type="gramStart"/>
      <w:r w:rsidRPr="00D707C3">
        <w:rPr>
          <w:rFonts w:eastAsia="Calibri"/>
          <w:sz w:val="28"/>
          <w:szCs w:val="28"/>
        </w:rPr>
        <w:t>млн</w:t>
      </w:r>
      <w:proofErr w:type="gramEnd"/>
      <w:r w:rsidRPr="00D707C3">
        <w:rPr>
          <w:rFonts w:eastAsia="Calibri"/>
          <w:sz w:val="28"/>
          <w:szCs w:val="28"/>
        </w:rPr>
        <w:t xml:space="preserve"> тонн грузов, что на 16,2% больше, чем в январе-мае 2024 года. Объем грузоперевозок, выполненных на коммерческой основе, составил 1,3 </w:t>
      </w:r>
      <w:proofErr w:type="gramStart"/>
      <w:r w:rsidRPr="00D707C3">
        <w:rPr>
          <w:rFonts w:eastAsia="Calibri"/>
          <w:sz w:val="28"/>
          <w:szCs w:val="28"/>
        </w:rPr>
        <w:t>млн</w:t>
      </w:r>
      <w:proofErr w:type="gramEnd"/>
      <w:r w:rsidRPr="00D707C3">
        <w:rPr>
          <w:rFonts w:eastAsia="Calibri"/>
          <w:sz w:val="28"/>
          <w:szCs w:val="28"/>
        </w:rPr>
        <w:t xml:space="preserve"> тонн грузов (на 25,2% больше).</w:t>
      </w:r>
    </w:p>
    <w:p w:rsidR="00D707C3" w:rsidRPr="00D707C3" w:rsidRDefault="00D707C3" w:rsidP="00D707C3">
      <w:pPr>
        <w:tabs>
          <w:tab w:val="left" w:pos="2851"/>
        </w:tabs>
        <w:ind w:firstLine="709"/>
        <w:jc w:val="both"/>
        <w:rPr>
          <w:rFonts w:eastAsia="Calibri"/>
          <w:i/>
          <w:iCs/>
          <w:sz w:val="28"/>
          <w:szCs w:val="28"/>
        </w:rPr>
      </w:pPr>
      <w:r w:rsidRPr="00D707C3">
        <w:rPr>
          <w:sz w:val="28"/>
          <w:szCs w:val="28"/>
        </w:rPr>
        <w:t xml:space="preserve">За январь-май 2025 года автобусами по маршрутам регулярных перевозок перевезено 25,9 </w:t>
      </w:r>
      <w:proofErr w:type="gramStart"/>
      <w:r w:rsidRPr="00D707C3">
        <w:rPr>
          <w:sz w:val="28"/>
          <w:szCs w:val="28"/>
        </w:rPr>
        <w:t>млн</w:t>
      </w:r>
      <w:proofErr w:type="gramEnd"/>
      <w:r w:rsidRPr="00D707C3">
        <w:rPr>
          <w:sz w:val="28"/>
          <w:szCs w:val="28"/>
        </w:rPr>
        <w:t xml:space="preserve"> пассажиров, что на </w:t>
      </w:r>
      <w:r w:rsidRPr="00D707C3">
        <w:rPr>
          <w:b/>
          <w:sz w:val="28"/>
          <w:szCs w:val="28"/>
        </w:rPr>
        <w:t>10,1%</w:t>
      </w:r>
      <w:r w:rsidRPr="00D707C3">
        <w:rPr>
          <w:sz w:val="28"/>
          <w:szCs w:val="28"/>
        </w:rPr>
        <w:t xml:space="preserve"> ниже уровня января-мая 2024 года. Пассажирооборот снизился на 8,8% и составил 403,4 </w:t>
      </w:r>
      <w:proofErr w:type="gramStart"/>
      <w:r w:rsidRPr="00D707C3">
        <w:rPr>
          <w:sz w:val="28"/>
          <w:szCs w:val="28"/>
        </w:rPr>
        <w:t>млн</w:t>
      </w:r>
      <w:proofErr w:type="gramEnd"/>
      <w:r w:rsidRPr="00D707C3">
        <w:rPr>
          <w:sz w:val="28"/>
          <w:szCs w:val="28"/>
        </w:rPr>
        <w:t xml:space="preserve"> пасс-км.</w:t>
      </w:r>
      <w:r w:rsidRPr="00D707C3">
        <w:rPr>
          <w:rFonts w:eastAsia="Calibri"/>
          <w:i/>
          <w:iCs/>
          <w:sz w:val="28"/>
          <w:szCs w:val="28"/>
        </w:rPr>
        <w:t xml:space="preserve"> </w:t>
      </w:r>
    </w:p>
    <w:p w:rsidR="00D707C3" w:rsidRPr="00D707C3" w:rsidRDefault="00D707C3" w:rsidP="00D707C3">
      <w:pPr>
        <w:tabs>
          <w:tab w:val="left" w:pos="0"/>
        </w:tabs>
        <w:ind w:firstLine="426"/>
        <w:jc w:val="both"/>
        <w:rPr>
          <w:rFonts w:eastAsia="Calibri"/>
          <w:spacing w:val="-4"/>
          <w:sz w:val="28"/>
          <w:szCs w:val="28"/>
        </w:rPr>
      </w:pPr>
      <w:r w:rsidRPr="00D707C3">
        <w:rPr>
          <w:rFonts w:eastAsia="Calibri"/>
          <w:i/>
          <w:iCs/>
          <w:spacing w:val="-4"/>
          <w:sz w:val="28"/>
          <w:szCs w:val="28"/>
        </w:rPr>
        <w:tab/>
        <w:t>Количество дорожно-транспортных происшествий</w:t>
      </w:r>
      <w:r w:rsidRPr="00D707C3">
        <w:rPr>
          <w:rFonts w:eastAsia="Calibri"/>
          <w:spacing w:val="-4"/>
          <w:sz w:val="28"/>
          <w:szCs w:val="28"/>
        </w:rPr>
        <w:t xml:space="preserve"> в январе-мае 2025 года составило 533 случая (98,2% к аналогичному периоду прошлого года), из них с участием детей до 16 лет – 54 случая (84,4% к аналогичному периоду прошлого года). Погибло 96 человек (94,1%), из них 3-е детей. Ранения различной степени тяжести получили 633 человека (95,3%), из них – 57 детей (83,8%).</w:t>
      </w:r>
    </w:p>
    <w:p w:rsidR="00C9578E" w:rsidRPr="00C9578E" w:rsidRDefault="00C9578E" w:rsidP="00C9578E">
      <w:pPr>
        <w:ind w:firstLine="709"/>
        <w:jc w:val="both"/>
        <w:rPr>
          <w:rFonts w:eastAsia="Calibri"/>
          <w:sz w:val="28"/>
          <w:szCs w:val="28"/>
        </w:rPr>
      </w:pPr>
      <w:r w:rsidRPr="00C9578E">
        <w:rPr>
          <w:rFonts w:eastAsia="Calibri"/>
          <w:sz w:val="28"/>
          <w:szCs w:val="28"/>
        </w:rPr>
        <w:t>По сведениям Северо-Западного бассейнового филиала ФГУП «</w:t>
      </w:r>
      <w:proofErr w:type="spellStart"/>
      <w:r w:rsidRPr="00C9578E">
        <w:rPr>
          <w:rFonts w:eastAsia="Calibri"/>
          <w:sz w:val="28"/>
          <w:szCs w:val="28"/>
        </w:rPr>
        <w:t>Росморпорт</w:t>
      </w:r>
      <w:proofErr w:type="spellEnd"/>
      <w:r w:rsidRPr="00C9578E">
        <w:rPr>
          <w:rFonts w:eastAsia="Calibri"/>
          <w:sz w:val="28"/>
          <w:szCs w:val="28"/>
        </w:rPr>
        <w:t xml:space="preserve">», объем перегрузки грузов в морских портах, расположенных в Ленинградской области, в январе-мае 2025 года составил </w:t>
      </w:r>
      <w:r w:rsidRPr="00C9578E">
        <w:rPr>
          <w:bCs/>
          <w:color w:val="000000"/>
          <w:sz w:val="28"/>
          <w:szCs w:val="28"/>
        </w:rPr>
        <w:t>75</w:t>
      </w:r>
      <w:r w:rsidR="00063628">
        <w:rPr>
          <w:bCs/>
          <w:color w:val="000000"/>
          <w:sz w:val="28"/>
          <w:szCs w:val="28"/>
        </w:rPr>
        <w:t> </w:t>
      </w:r>
      <w:r w:rsidRPr="00C9578E">
        <w:rPr>
          <w:bCs/>
          <w:color w:val="000000"/>
          <w:sz w:val="28"/>
          <w:szCs w:val="28"/>
        </w:rPr>
        <w:t xml:space="preserve">371,6 </w:t>
      </w:r>
      <w:r w:rsidRPr="00C9578E">
        <w:rPr>
          <w:rFonts w:eastAsia="Calibri"/>
          <w:sz w:val="28"/>
          <w:szCs w:val="28"/>
        </w:rPr>
        <w:t>тыс. тонн</w:t>
      </w:r>
      <w:r w:rsidR="00605B69">
        <w:rPr>
          <w:rFonts w:eastAsia="Calibri"/>
          <w:sz w:val="28"/>
          <w:szCs w:val="28"/>
        </w:rPr>
        <w:t xml:space="preserve"> </w:t>
      </w:r>
      <w:r w:rsidRPr="00C9578E">
        <w:rPr>
          <w:rFonts w:eastAsia="Calibri"/>
          <w:sz w:val="28"/>
          <w:szCs w:val="28"/>
        </w:rPr>
        <w:t>или 93,3%</w:t>
      </w:r>
      <w:r w:rsidRPr="00C9578E">
        <w:rPr>
          <w:rFonts w:eastAsia="Calibri"/>
          <w:sz w:val="28"/>
          <w:szCs w:val="28"/>
        </w:rPr>
        <w:br/>
        <w:t>к январю-маю предыдущего года.</w:t>
      </w:r>
    </w:p>
    <w:p w:rsidR="00F544DF" w:rsidRDefault="00F544DF" w:rsidP="00F544DF">
      <w:pPr>
        <w:ind w:firstLine="720"/>
        <w:jc w:val="both"/>
        <w:rPr>
          <w:b/>
          <w:sz w:val="28"/>
          <w:szCs w:val="28"/>
        </w:rPr>
      </w:pPr>
      <w:r w:rsidRPr="00F544DF">
        <w:rPr>
          <w:b/>
          <w:i/>
          <w:sz w:val="28"/>
          <w:szCs w:val="28"/>
        </w:rPr>
        <w:t>Объем телекоммуникационных услуг,</w:t>
      </w:r>
      <w:r w:rsidRPr="00F544DF">
        <w:rPr>
          <w:sz w:val="28"/>
          <w:szCs w:val="28"/>
        </w:rPr>
        <w:t xml:space="preserve"> оказанных организациями Ленинградской области (без субъектов малого предпринимательства), в январе-м</w:t>
      </w:r>
      <w:r w:rsidR="00605B69">
        <w:rPr>
          <w:sz w:val="28"/>
          <w:szCs w:val="28"/>
        </w:rPr>
        <w:t xml:space="preserve">ае 2025 года составил 0,9 </w:t>
      </w:r>
      <w:proofErr w:type="gramStart"/>
      <w:r w:rsidR="00605B69">
        <w:rPr>
          <w:sz w:val="28"/>
          <w:szCs w:val="28"/>
        </w:rPr>
        <w:t>млрд</w:t>
      </w:r>
      <w:proofErr w:type="gramEnd"/>
      <w:r w:rsidR="00605B69">
        <w:rPr>
          <w:sz w:val="28"/>
          <w:szCs w:val="28"/>
        </w:rPr>
        <w:t xml:space="preserve"> </w:t>
      </w:r>
      <w:r w:rsidRPr="00F544DF">
        <w:rPr>
          <w:sz w:val="28"/>
          <w:szCs w:val="28"/>
        </w:rPr>
        <w:t xml:space="preserve">рублей, и в действующих ценах снизился по сравнению с январем-маем 2024 года </w:t>
      </w:r>
      <w:r w:rsidRPr="001D511D">
        <w:rPr>
          <w:b/>
          <w:sz w:val="28"/>
          <w:szCs w:val="28"/>
        </w:rPr>
        <w:t>на 4,4%.</w:t>
      </w:r>
    </w:p>
    <w:p w:rsidR="00BD3492" w:rsidRDefault="00BD3492" w:rsidP="00F544DF">
      <w:pPr>
        <w:ind w:firstLine="720"/>
        <w:jc w:val="both"/>
        <w:rPr>
          <w:b/>
          <w:sz w:val="28"/>
          <w:szCs w:val="28"/>
        </w:rPr>
      </w:pPr>
    </w:p>
    <w:p w:rsidR="00BD3492" w:rsidRDefault="00BD3492" w:rsidP="00F544DF">
      <w:pPr>
        <w:ind w:firstLine="720"/>
        <w:jc w:val="both"/>
        <w:rPr>
          <w:b/>
          <w:sz w:val="28"/>
          <w:szCs w:val="28"/>
        </w:rPr>
      </w:pPr>
    </w:p>
    <w:p w:rsidR="00B47EF8" w:rsidRPr="00B47EF8" w:rsidRDefault="00B47EF8" w:rsidP="00B47EF8">
      <w:pPr>
        <w:ind w:right="-5" w:firstLine="720"/>
        <w:jc w:val="both"/>
        <w:rPr>
          <w:sz w:val="28"/>
          <w:szCs w:val="28"/>
        </w:rPr>
      </w:pPr>
      <w:r w:rsidRPr="00B47EF8">
        <w:rPr>
          <w:sz w:val="28"/>
          <w:szCs w:val="28"/>
        </w:rPr>
        <w:lastRenderedPageBreak/>
        <w:t>Количество субъектов малого и среднего предпринимательства (далее – субъекты МСП) в Ленинградской области по состоянию на 10 апреля 2025 года</w:t>
      </w:r>
      <w:r w:rsidRPr="00B47EF8">
        <w:rPr>
          <w:sz w:val="28"/>
          <w:szCs w:val="28"/>
        </w:rPr>
        <w:br/>
        <w:t xml:space="preserve">в соответствии с единым реестром субъектов МСП составляет 86 756 </w:t>
      </w:r>
      <w:r w:rsidRPr="00605B69">
        <w:rPr>
          <w:sz w:val="28"/>
          <w:szCs w:val="28"/>
        </w:rPr>
        <w:t xml:space="preserve">или </w:t>
      </w:r>
      <w:r w:rsidRPr="00605B69">
        <w:rPr>
          <w:sz w:val="28"/>
        </w:rPr>
        <w:t>101,8%</w:t>
      </w:r>
      <w:r w:rsidRPr="00605B69">
        <w:rPr>
          <w:sz w:val="28"/>
          <w:szCs w:val="28"/>
        </w:rPr>
        <w:t xml:space="preserve"> </w:t>
      </w:r>
      <w:r w:rsidRPr="00B47EF8">
        <w:rPr>
          <w:sz w:val="28"/>
          <w:szCs w:val="28"/>
        </w:rPr>
        <w:t>к началу 2025 года.</w:t>
      </w:r>
    </w:p>
    <w:p w:rsidR="00B47EF8" w:rsidRPr="00B47EF8" w:rsidRDefault="00B47EF8" w:rsidP="00B47E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7EF8">
        <w:rPr>
          <w:rFonts w:eastAsia="Calibri"/>
          <w:sz w:val="28"/>
          <w:szCs w:val="28"/>
          <w:lang w:eastAsia="en-US"/>
        </w:rPr>
        <w:t xml:space="preserve">Численность занятых в сфере МСП (согласно данным ЕМИСС) по состоянию по состоянию на 31.03.2025 </w:t>
      </w:r>
      <w:r w:rsidRPr="00B47EF8">
        <w:rPr>
          <w:sz w:val="28"/>
          <w:szCs w:val="28"/>
        </w:rPr>
        <w:t>составляет 346,7 тыс. человек.</w:t>
      </w:r>
      <w:r w:rsidRPr="00B47EF8">
        <w:rPr>
          <w:rFonts w:eastAsia="Calibri"/>
          <w:sz w:val="28"/>
          <w:szCs w:val="28"/>
          <w:lang w:eastAsia="en-US"/>
        </w:rPr>
        <w:t xml:space="preserve"> </w:t>
      </w:r>
    </w:p>
    <w:p w:rsidR="00B47EF8" w:rsidRPr="00B47EF8" w:rsidRDefault="00B47EF8" w:rsidP="00B47EF8">
      <w:pPr>
        <w:ind w:right="-5" w:firstLine="720"/>
        <w:jc w:val="both"/>
        <w:rPr>
          <w:sz w:val="28"/>
          <w:szCs w:val="28"/>
          <w:highlight w:val="lightGray"/>
        </w:rPr>
      </w:pPr>
      <w:r w:rsidRPr="00B47EF8">
        <w:rPr>
          <w:sz w:val="28"/>
          <w:szCs w:val="28"/>
        </w:rPr>
        <w:t xml:space="preserve">Наблюдается значительный рост количества </w:t>
      </w:r>
      <w:proofErr w:type="spellStart"/>
      <w:r w:rsidRPr="00B47EF8">
        <w:rPr>
          <w:sz w:val="28"/>
          <w:szCs w:val="28"/>
        </w:rPr>
        <w:t>самозанятых</w:t>
      </w:r>
      <w:proofErr w:type="spellEnd"/>
      <w:r w:rsidRPr="00B47EF8">
        <w:rPr>
          <w:sz w:val="28"/>
          <w:szCs w:val="28"/>
        </w:rPr>
        <w:t xml:space="preserve"> граждан, зафиксировавших свой статус и применяющих специальный налоговый режим «Налог на профессиональный доход» (НПД)». По состоянию на 31.03.2025 количество </w:t>
      </w:r>
      <w:proofErr w:type="spellStart"/>
      <w:r w:rsidRPr="00B47EF8">
        <w:rPr>
          <w:sz w:val="28"/>
          <w:szCs w:val="28"/>
        </w:rPr>
        <w:t>самозанятых</w:t>
      </w:r>
      <w:proofErr w:type="spellEnd"/>
      <w:r w:rsidRPr="00B47EF8">
        <w:rPr>
          <w:sz w:val="28"/>
          <w:szCs w:val="28"/>
        </w:rPr>
        <w:t xml:space="preserve"> составило 142,5 тыс. человек, что на 6,5% выше значения на начало года.</w:t>
      </w:r>
    </w:p>
    <w:p w:rsidR="00B47EF8" w:rsidRPr="00B47EF8" w:rsidRDefault="00B47EF8" w:rsidP="00B47E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7EF8">
        <w:rPr>
          <w:rFonts w:eastAsia="Calibri"/>
          <w:sz w:val="28"/>
          <w:szCs w:val="28"/>
          <w:lang w:eastAsia="en-US"/>
        </w:rPr>
        <w:t xml:space="preserve">Среднесписочная численность работников на предприятиях малого и среднего предпринимательства, включая </w:t>
      </w:r>
      <w:proofErr w:type="spellStart"/>
      <w:r w:rsidRPr="00B47EF8">
        <w:rPr>
          <w:rFonts w:eastAsia="Calibri"/>
          <w:sz w:val="28"/>
          <w:szCs w:val="28"/>
          <w:lang w:eastAsia="en-US"/>
        </w:rPr>
        <w:t>микропредприятия</w:t>
      </w:r>
      <w:proofErr w:type="spellEnd"/>
      <w:r w:rsidRPr="00B47EF8">
        <w:rPr>
          <w:rFonts w:eastAsia="Calibri"/>
          <w:sz w:val="28"/>
          <w:szCs w:val="28"/>
          <w:lang w:eastAsia="en-US"/>
        </w:rPr>
        <w:t xml:space="preserve"> (без внешних совместителей) по итогам первого квартала 2025 года (согласно данным ФНС)</w:t>
      </w:r>
      <w:r w:rsidR="00EC6CC9">
        <w:rPr>
          <w:rFonts w:eastAsia="Calibri"/>
          <w:sz w:val="28"/>
          <w:szCs w:val="28"/>
          <w:lang w:eastAsia="en-US"/>
        </w:rPr>
        <w:t xml:space="preserve"> </w:t>
      </w:r>
      <w:r w:rsidRPr="00B47EF8">
        <w:rPr>
          <w:rFonts w:eastAsia="Calibri"/>
          <w:sz w:val="28"/>
          <w:szCs w:val="28"/>
          <w:lang w:eastAsia="en-US"/>
        </w:rPr>
        <w:t>составила 195,4 тыс. человек.</w:t>
      </w:r>
    </w:p>
    <w:p w:rsidR="00B47EF8" w:rsidRPr="00B47EF8" w:rsidRDefault="00B47EF8" w:rsidP="00B47E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7EF8">
        <w:rPr>
          <w:rFonts w:eastAsia="Calibri"/>
          <w:sz w:val="28"/>
          <w:szCs w:val="28"/>
          <w:lang w:eastAsia="en-US"/>
        </w:rPr>
        <w:t xml:space="preserve">Численность индивидуальных предпринимателей по результатам </w:t>
      </w:r>
      <w:r w:rsidR="00EC6CC9">
        <w:rPr>
          <w:rFonts w:eastAsia="Calibri"/>
          <w:sz w:val="28"/>
          <w:szCs w:val="28"/>
          <w:lang w:eastAsia="en-US"/>
        </w:rPr>
        <w:t xml:space="preserve">1 квартала </w:t>
      </w:r>
      <w:r w:rsidRPr="00B47EF8">
        <w:rPr>
          <w:rFonts w:eastAsia="Calibri"/>
          <w:sz w:val="28"/>
          <w:szCs w:val="28"/>
          <w:lang w:eastAsia="en-US"/>
        </w:rPr>
        <w:t>202</w:t>
      </w:r>
      <w:r w:rsidR="00EC6CC9">
        <w:rPr>
          <w:rFonts w:eastAsia="Calibri"/>
          <w:sz w:val="28"/>
          <w:szCs w:val="28"/>
          <w:lang w:eastAsia="en-US"/>
        </w:rPr>
        <w:t>5</w:t>
      </w:r>
      <w:r w:rsidRPr="00B47EF8">
        <w:rPr>
          <w:rFonts w:eastAsia="Calibri"/>
          <w:sz w:val="28"/>
          <w:szCs w:val="28"/>
          <w:lang w:eastAsia="en-US"/>
        </w:rPr>
        <w:t xml:space="preserve"> года составила 64 035 человек, что на 2,5% выше значения за начало года.</w:t>
      </w:r>
    </w:p>
    <w:p w:rsidR="00A66BC0" w:rsidRPr="00A66BC0" w:rsidRDefault="00A66BC0" w:rsidP="00A66B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66BC0">
        <w:rPr>
          <w:sz w:val="28"/>
          <w:szCs w:val="28"/>
        </w:rPr>
        <w:t xml:space="preserve">По виду деятельности «строительство» в январе-мае 2025 года объем работ составил 182,8 </w:t>
      </w:r>
      <w:proofErr w:type="gramStart"/>
      <w:r w:rsidRPr="00A66BC0">
        <w:rPr>
          <w:sz w:val="28"/>
          <w:szCs w:val="28"/>
        </w:rPr>
        <w:t>млрд</w:t>
      </w:r>
      <w:proofErr w:type="gramEnd"/>
      <w:r w:rsidRPr="00A66BC0">
        <w:rPr>
          <w:sz w:val="28"/>
          <w:szCs w:val="28"/>
        </w:rPr>
        <w:t xml:space="preserve"> рублей, индекс физического объема к январю-маю 2024 года – </w:t>
      </w:r>
      <w:r w:rsidRPr="00A66BC0">
        <w:rPr>
          <w:b/>
          <w:sz w:val="28"/>
          <w:szCs w:val="28"/>
        </w:rPr>
        <w:t>161,6%.</w:t>
      </w:r>
    </w:p>
    <w:p w:rsidR="00DB450E" w:rsidRPr="00DB450E" w:rsidRDefault="00DB450E" w:rsidP="00DB45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B450E">
        <w:rPr>
          <w:sz w:val="28"/>
          <w:szCs w:val="28"/>
        </w:rPr>
        <w:t xml:space="preserve">Организациями различных видов деятельности (без субъектов малого предпринимательства) в январе-мае 2025 года выполнено хозяйственным способом строительно-монтажных работ на 243,4 </w:t>
      </w:r>
      <w:proofErr w:type="gramStart"/>
      <w:r w:rsidRPr="00DB450E">
        <w:rPr>
          <w:sz w:val="28"/>
          <w:szCs w:val="28"/>
        </w:rPr>
        <w:t>млн</w:t>
      </w:r>
      <w:proofErr w:type="gramEnd"/>
      <w:r w:rsidRPr="00DB450E">
        <w:rPr>
          <w:sz w:val="28"/>
          <w:szCs w:val="28"/>
        </w:rPr>
        <w:t xml:space="preserve"> рублей, индекс физического объема к январю-маю 2024 года составил 46,3%.</w:t>
      </w:r>
    </w:p>
    <w:p w:rsidR="00DB450E" w:rsidRPr="00DB450E" w:rsidRDefault="00DB450E" w:rsidP="00DB45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B450E">
        <w:rPr>
          <w:sz w:val="28"/>
          <w:szCs w:val="28"/>
        </w:rPr>
        <w:t>В январе-мае 2025 года</w:t>
      </w:r>
      <w:r w:rsidRPr="00DB450E">
        <w:rPr>
          <w:i/>
          <w:sz w:val="28"/>
          <w:szCs w:val="28"/>
        </w:rPr>
        <w:t xml:space="preserve"> организациями всех форм собственности и населением </w:t>
      </w:r>
      <w:r w:rsidRPr="00DB450E">
        <w:rPr>
          <w:b/>
          <w:i/>
          <w:sz w:val="28"/>
          <w:szCs w:val="28"/>
        </w:rPr>
        <w:t xml:space="preserve"> введено в действие</w:t>
      </w:r>
      <w:r w:rsidRPr="00DB450E">
        <w:rPr>
          <w:sz w:val="28"/>
          <w:szCs w:val="28"/>
        </w:rPr>
        <w:t xml:space="preserve"> 17</w:t>
      </w:r>
      <w:r w:rsidR="00063628">
        <w:rPr>
          <w:sz w:val="28"/>
          <w:szCs w:val="28"/>
        </w:rPr>
        <w:t> </w:t>
      </w:r>
      <w:r w:rsidRPr="00DB450E">
        <w:rPr>
          <w:sz w:val="28"/>
          <w:szCs w:val="28"/>
        </w:rPr>
        <w:t xml:space="preserve">708 </w:t>
      </w:r>
      <w:r w:rsidRPr="00DB450E">
        <w:rPr>
          <w:b/>
          <w:i/>
          <w:sz w:val="28"/>
          <w:szCs w:val="28"/>
        </w:rPr>
        <w:t xml:space="preserve">квартир </w:t>
      </w:r>
      <w:r w:rsidRPr="00DB450E">
        <w:rPr>
          <w:sz w:val="28"/>
          <w:szCs w:val="28"/>
        </w:rPr>
        <w:t>(84,5% к январю-маю 2024) общей площадью 1</w:t>
      </w:r>
      <w:r w:rsidR="00063628">
        <w:rPr>
          <w:sz w:val="28"/>
          <w:szCs w:val="28"/>
        </w:rPr>
        <w:t> </w:t>
      </w:r>
      <w:r w:rsidRPr="00DB450E">
        <w:rPr>
          <w:sz w:val="28"/>
          <w:szCs w:val="28"/>
        </w:rPr>
        <w:t xml:space="preserve">941,4 тыс. кв. м., </w:t>
      </w:r>
      <w:r w:rsidRPr="00B71D92">
        <w:rPr>
          <w:sz w:val="28"/>
          <w:szCs w:val="28"/>
        </w:rPr>
        <w:t>что на 5,9% больше</w:t>
      </w:r>
      <w:r w:rsidRPr="00DB450E">
        <w:rPr>
          <w:sz w:val="28"/>
          <w:szCs w:val="28"/>
        </w:rPr>
        <w:t>, чем в январе-мае 2024 года.</w:t>
      </w:r>
    </w:p>
    <w:bookmarkEnd w:id="4"/>
    <w:p w:rsidR="001B3F85" w:rsidRPr="00C05D6C" w:rsidRDefault="001B3F85" w:rsidP="00C0148E">
      <w:pPr>
        <w:shd w:val="clear" w:color="auto" w:fill="FFFFFF" w:themeFill="background1"/>
        <w:spacing w:line="240" w:lineRule="atLeast"/>
        <w:ind w:firstLine="567"/>
        <w:jc w:val="both"/>
        <w:rPr>
          <w:sz w:val="28"/>
          <w:szCs w:val="28"/>
        </w:rPr>
      </w:pPr>
      <w:r w:rsidRPr="00C05D6C">
        <w:rPr>
          <w:b/>
          <w:sz w:val="28"/>
          <w:szCs w:val="28"/>
        </w:rPr>
        <w:t>Индексы цен</w:t>
      </w:r>
      <w:r w:rsidR="00C05D6C" w:rsidRPr="00C05D6C">
        <w:rPr>
          <w:sz w:val="28"/>
          <w:szCs w:val="28"/>
        </w:rPr>
        <w:t xml:space="preserve"> на товары и услуги в 2025</w:t>
      </w:r>
      <w:r w:rsidRPr="00C05D6C">
        <w:rPr>
          <w:sz w:val="28"/>
          <w:szCs w:val="28"/>
        </w:rPr>
        <w:t xml:space="preserve"> году помесячно и нарастающим итогом с начала года характеризуются следующими данными:</w:t>
      </w:r>
    </w:p>
    <w:p w:rsidR="00C05D6C" w:rsidRPr="00C05D6C" w:rsidRDefault="001B3F85" w:rsidP="00C0148E">
      <w:pPr>
        <w:widowControl w:val="0"/>
        <w:shd w:val="clear" w:color="auto" w:fill="FFFFFF" w:themeFill="background1"/>
        <w:spacing w:before="120"/>
        <w:ind w:right="-142"/>
        <w:jc w:val="both"/>
        <w:rPr>
          <w:sz w:val="28"/>
          <w:szCs w:val="28"/>
        </w:rPr>
      </w:pPr>
      <w:r w:rsidRPr="00C05D6C">
        <w:rPr>
          <w:sz w:val="28"/>
          <w:szCs w:val="28"/>
        </w:rPr>
        <w:t xml:space="preserve">  </w:t>
      </w:r>
    </w:p>
    <w:tbl>
      <w:tblPr>
        <w:tblW w:w="1054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1017"/>
        <w:gridCol w:w="1171"/>
        <w:gridCol w:w="1017"/>
        <w:gridCol w:w="1017"/>
        <w:gridCol w:w="882"/>
        <w:gridCol w:w="1271"/>
      </w:tblGrid>
      <w:tr w:rsidR="00C05D6C" w:rsidRPr="00C05D6C" w:rsidTr="008F473A">
        <w:tc>
          <w:tcPr>
            <w:tcW w:w="41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40" w:lineRule="atLeast"/>
              <w:rPr>
                <w:sz w:val="26"/>
              </w:rPr>
            </w:pPr>
          </w:p>
        </w:tc>
        <w:tc>
          <w:tcPr>
            <w:tcW w:w="508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C05D6C" w:rsidRPr="00C05D6C" w:rsidRDefault="00C05D6C" w:rsidP="00C05D6C">
            <w:pPr>
              <w:tabs>
                <w:tab w:val="decimal" w:pos="190"/>
              </w:tabs>
              <w:jc w:val="center"/>
              <w:rPr>
                <w:sz w:val="26"/>
              </w:rPr>
            </w:pPr>
            <w:r w:rsidRPr="00C05D6C">
              <w:rPr>
                <w:sz w:val="26"/>
                <w:szCs w:val="26"/>
              </w:rPr>
              <w:t>К предыдущему месяцу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05D6C" w:rsidRPr="00C05D6C" w:rsidRDefault="00C05D6C" w:rsidP="00C05D6C">
            <w:pPr>
              <w:tabs>
                <w:tab w:val="decimal" w:pos="190"/>
              </w:tabs>
              <w:jc w:val="center"/>
            </w:pPr>
            <w:r w:rsidRPr="00C05D6C">
              <w:rPr>
                <w:sz w:val="26"/>
              </w:rPr>
              <w:t>С начала года</w:t>
            </w:r>
          </w:p>
        </w:tc>
      </w:tr>
      <w:tr w:rsidR="00C05D6C" w:rsidRPr="00C05D6C" w:rsidTr="008F473A">
        <w:trPr>
          <w:trHeight w:val="317"/>
        </w:trPr>
        <w:tc>
          <w:tcPr>
            <w:tcW w:w="4186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40" w:lineRule="atLeast"/>
              <w:rPr>
                <w:sz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январь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февраль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март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апрель</w:t>
            </w:r>
          </w:p>
        </w:tc>
        <w:tc>
          <w:tcPr>
            <w:tcW w:w="8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ind w:left="-212" w:right="-132"/>
              <w:jc w:val="center"/>
            </w:pPr>
            <w:r w:rsidRPr="00C05D6C">
              <w:rPr>
                <w:sz w:val="26"/>
                <w:szCs w:val="26"/>
              </w:rPr>
              <w:t>май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190"/>
              </w:tabs>
              <w:ind w:left="-212" w:right="-132"/>
            </w:pPr>
          </w:p>
        </w:tc>
      </w:tr>
      <w:tr w:rsidR="00C05D6C" w:rsidRPr="00C05D6C" w:rsidTr="008F473A">
        <w:tc>
          <w:tcPr>
            <w:tcW w:w="4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60" w:lineRule="exact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Все товары и услуги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>101,51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94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100,30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370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563"/>
              </w:tabs>
              <w:spacing w:line="260" w:lineRule="exact"/>
              <w:ind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103,96</w:t>
            </w:r>
          </w:p>
        </w:tc>
      </w:tr>
      <w:tr w:rsidR="00C05D6C" w:rsidRPr="00C05D6C" w:rsidTr="008F473A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60" w:lineRule="exact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 xml:space="preserve"> продовольственные товары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102,22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94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370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563"/>
              </w:tabs>
              <w:spacing w:line="260" w:lineRule="exact"/>
              <w:ind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105,52</w:t>
            </w:r>
          </w:p>
        </w:tc>
      </w:tr>
      <w:tr w:rsidR="00C05D6C" w:rsidRPr="00C05D6C" w:rsidTr="008F473A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60" w:lineRule="exact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 xml:space="preserve">   без овощей, картофеля и фруктов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101,78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94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370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563"/>
              </w:tabs>
              <w:spacing w:line="260" w:lineRule="exact"/>
              <w:ind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105,23</w:t>
            </w:r>
          </w:p>
        </w:tc>
      </w:tr>
      <w:tr w:rsidR="00C05D6C" w:rsidRPr="00C05D6C" w:rsidTr="008F473A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60" w:lineRule="exact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 xml:space="preserve"> непродовольственные товары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100,78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94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  <w:highlight w:val="yellow"/>
              </w:rPr>
            </w:pPr>
            <w:r w:rsidRPr="00C05D6C">
              <w:rPr>
                <w:color w:val="000000"/>
                <w:sz w:val="26"/>
                <w:szCs w:val="26"/>
              </w:rPr>
              <w:t>99,94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370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99,77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563"/>
              </w:tabs>
              <w:spacing w:line="260" w:lineRule="exact"/>
              <w:ind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101,29</w:t>
            </w:r>
          </w:p>
        </w:tc>
      </w:tr>
      <w:tr w:rsidR="00C05D6C" w:rsidRPr="00C05D6C" w:rsidTr="008F473A"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spacing w:line="260" w:lineRule="exact"/>
              <w:rPr>
                <w:sz w:val="26"/>
                <w:szCs w:val="26"/>
              </w:rPr>
            </w:pPr>
            <w:r w:rsidRPr="00C05D6C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94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101,05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438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370"/>
              </w:tabs>
              <w:spacing w:line="260" w:lineRule="exact"/>
              <w:ind w:left="-95"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6C" w:rsidRPr="00C05D6C" w:rsidRDefault="00C05D6C" w:rsidP="00C05D6C">
            <w:pPr>
              <w:tabs>
                <w:tab w:val="decimal" w:pos="563"/>
              </w:tabs>
              <w:spacing w:line="260" w:lineRule="exact"/>
              <w:ind w:right="-96"/>
              <w:rPr>
                <w:color w:val="000000"/>
                <w:sz w:val="26"/>
                <w:szCs w:val="26"/>
              </w:rPr>
            </w:pPr>
            <w:r w:rsidRPr="00C05D6C">
              <w:rPr>
                <w:color w:val="000000"/>
                <w:sz w:val="26"/>
                <w:szCs w:val="26"/>
              </w:rPr>
              <w:t>104,29</w:t>
            </w:r>
          </w:p>
        </w:tc>
      </w:tr>
    </w:tbl>
    <w:p w:rsidR="00063628" w:rsidRDefault="00063628" w:rsidP="00B71D92">
      <w:pPr>
        <w:pStyle w:val="22"/>
        <w:rPr>
          <w:b/>
          <w:i/>
        </w:rPr>
      </w:pPr>
    </w:p>
    <w:p w:rsidR="00443FCB" w:rsidRPr="00B71D92" w:rsidRDefault="00443FCB" w:rsidP="00B71D92">
      <w:pPr>
        <w:pStyle w:val="22"/>
      </w:pPr>
      <w:r w:rsidRPr="00B71D92">
        <w:rPr>
          <w:b/>
          <w:i/>
        </w:rPr>
        <w:t>Индекс цен производителей</w:t>
      </w:r>
      <w:r w:rsidRPr="00B71D92">
        <w:rPr>
          <w:b/>
        </w:rPr>
        <w:t xml:space="preserve"> </w:t>
      </w:r>
      <w:r w:rsidRPr="00B71D92">
        <w:t>промышленных товаров в мае 20</w:t>
      </w:r>
      <w:r w:rsidR="009409FD" w:rsidRPr="00B71D92">
        <w:t>2</w:t>
      </w:r>
      <w:r w:rsidR="00B71D92" w:rsidRPr="00B71D92">
        <w:t>5</w:t>
      </w:r>
      <w:r w:rsidRPr="00B71D92">
        <w:t xml:space="preserve"> года по сравнению с </w:t>
      </w:r>
      <w:r w:rsidR="00404EA0" w:rsidRPr="00B71D92">
        <w:t>апрелем 202</w:t>
      </w:r>
      <w:r w:rsidR="00B71D92" w:rsidRPr="00B71D92">
        <w:t>5</w:t>
      </w:r>
      <w:r w:rsidRPr="00B71D92">
        <w:t xml:space="preserve"> года – </w:t>
      </w:r>
      <w:r w:rsidR="00B71D92" w:rsidRPr="00B71D92">
        <w:t>100,8</w:t>
      </w:r>
      <w:r w:rsidRPr="00B71D92">
        <w:t xml:space="preserve">%, </w:t>
      </w:r>
      <w:r w:rsidR="008E2211" w:rsidRPr="00B71D92">
        <w:t xml:space="preserve">из него лесозаготовки – </w:t>
      </w:r>
      <w:r w:rsidR="00B71D92" w:rsidRPr="00B71D92">
        <w:t>107,0</w:t>
      </w:r>
      <w:r w:rsidR="00DA1523" w:rsidRPr="00B71D92">
        <w:t xml:space="preserve">%, рыбоводство – </w:t>
      </w:r>
      <w:r w:rsidR="00B71D92" w:rsidRPr="00B71D92">
        <w:t>106,2</w:t>
      </w:r>
      <w:r w:rsidR="008E2211" w:rsidRPr="00B71D92">
        <w:t xml:space="preserve">%, добыча полезных ископаемых – </w:t>
      </w:r>
      <w:r w:rsidR="00B71D92" w:rsidRPr="00B71D92">
        <w:t>100,8</w:t>
      </w:r>
      <w:r w:rsidR="008E2211" w:rsidRPr="00B71D92">
        <w:t xml:space="preserve">%, обрабатывающие производства – </w:t>
      </w:r>
      <w:r w:rsidR="00B71D92" w:rsidRPr="00B71D92">
        <w:t>100,9</w:t>
      </w:r>
      <w:r w:rsidR="008E2211" w:rsidRPr="00B71D92">
        <w:t xml:space="preserve">%, обеспечение электрической энергией, газом и паром; кондиционирование воздуха – </w:t>
      </w:r>
      <w:r w:rsidR="00B71D92" w:rsidRPr="00B71D92">
        <w:t>100,03</w:t>
      </w:r>
      <w:r w:rsidR="008E2211" w:rsidRPr="00B71D92">
        <w:t>%.</w:t>
      </w:r>
    </w:p>
    <w:p w:rsidR="00433A0E" w:rsidRPr="00433A0E" w:rsidRDefault="00433A0E" w:rsidP="00433A0E">
      <w:pPr>
        <w:ind w:firstLine="709"/>
        <w:jc w:val="both"/>
        <w:rPr>
          <w:sz w:val="28"/>
          <w:szCs w:val="28"/>
        </w:rPr>
      </w:pPr>
      <w:r w:rsidRPr="00433A0E">
        <w:rPr>
          <w:b/>
          <w:sz w:val="28"/>
          <w:szCs w:val="28"/>
        </w:rPr>
        <w:t xml:space="preserve">Оборот розничной торговли </w:t>
      </w:r>
      <w:r w:rsidRPr="00433A0E">
        <w:rPr>
          <w:sz w:val="28"/>
          <w:szCs w:val="28"/>
        </w:rPr>
        <w:t>в январе-мае 2025 года составил 365,5 </w:t>
      </w:r>
      <w:proofErr w:type="gramStart"/>
      <w:r w:rsidRPr="00433A0E">
        <w:rPr>
          <w:sz w:val="28"/>
          <w:szCs w:val="28"/>
        </w:rPr>
        <w:t>млрд</w:t>
      </w:r>
      <w:proofErr w:type="gramEnd"/>
      <w:r w:rsidRPr="00433A0E">
        <w:rPr>
          <w:sz w:val="28"/>
          <w:szCs w:val="28"/>
        </w:rPr>
        <w:t xml:space="preserve"> рублей, что в сопоставимых ценах на </w:t>
      </w:r>
      <w:r w:rsidRPr="001D511D">
        <w:rPr>
          <w:b/>
          <w:sz w:val="28"/>
          <w:szCs w:val="28"/>
        </w:rPr>
        <w:t>4,0%</w:t>
      </w:r>
      <w:r w:rsidRPr="00433A0E">
        <w:rPr>
          <w:sz w:val="28"/>
          <w:szCs w:val="28"/>
        </w:rPr>
        <w:t xml:space="preserve"> больше, чем в соответствующем периоде прошлого года.</w:t>
      </w:r>
    </w:p>
    <w:p w:rsidR="00E76C32" w:rsidRPr="00E76C32" w:rsidRDefault="00E76C32" w:rsidP="00E76C32">
      <w:pPr>
        <w:ind w:firstLine="709"/>
        <w:jc w:val="both"/>
        <w:rPr>
          <w:b/>
          <w:i/>
          <w:sz w:val="28"/>
          <w:szCs w:val="28"/>
        </w:rPr>
      </w:pPr>
      <w:r w:rsidRPr="00E76C32">
        <w:rPr>
          <w:b/>
          <w:i/>
          <w:sz w:val="28"/>
          <w:szCs w:val="28"/>
        </w:rPr>
        <w:lastRenderedPageBreak/>
        <w:t xml:space="preserve">Оборот общественного питания </w:t>
      </w:r>
      <w:r w:rsidRPr="00E76C32">
        <w:rPr>
          <w:sz w:val="28"/>
          <w:szCs w:val="28"/>
        </w:rPr>
        <w:t xml:space="preserve">в январе-мае 2025 года составил 16,1 </w:t>
      </w:r>
      <w:proofErr w:type="gramStart"/>
      <w:r w:rsidRPr="00E76C32">
        <w:rPr>
          <w:sz w:val="28"/>
          <w:szCs w:val="28"/>
        </w:rPr>
        <w:t>млрд</w:t>
      </w:r>
      <w:proofErr w:type="gramEnd"/>
      <w:r w:rsidRPr="00E76C32">
        <w:rPr>
          <w:sz w:val="28"/>
          <w:szCs w:val="28"/>
        </w:rPr>
        <w:t xml:space="preserve"> рублей, или </w:t>
      </w:r>
      <w:r w:rsidRPr="001D511D">
        <w:rPr>
          <w:b/>
          <w:sz w:val="28"/>
          <w:szCs w:val="28"/>
        </w:rPr>
        <w:t>110,9%</w:t>
      </w:r>
      <w:r w:rsidRPr="00E76C32">
        <w:rPr>
          <w:sz w:val="28"/>
          <w:szCs w:val="28"/>
        </w:rPr>
        <w:t xml:space="preserve"> к соответствующему периоду прошлого года.</w:t>
      </w:r>
    </w:p>
    <w:p w:rsidR="00E76C32" w:rsidRPr="00E76C32" w:rsidRDefault="00E76C32" w:rsidP="00E76C32">
      <w:pPr>
        <w:ind w:firstLine="709"/>
        <w:jc w:val="both"/>
        <w:rPr>
          <w:b/>
          <w:i/>
          <w:sz w:val="28"/>
          <w:szCs w:val="28"/>
        </w:rPr>
      </w:pPr>
      <w:r w:rsidRPr="00E76C32">
        <w:rPr>
          <w:b/>
          <w:i/>
          <w:sz w:val="28"/>
          <w:szCs w:val="28"/>
        </w:rPr>
        <w:t xml:space="preserve">Объем платных услуг, </w:t>
      </w:r>
      <w:r w:rsidRPr="00E76C32">
        <w:rPr>
          <w:sz w:val="28"/>
          <w:szCs w:val="28"/>
        </w:rPr>
        <w:t xml:space="preserve">оказанных населению, в январе-мае 2025 года составил 76,4 </w:t>
      </w:r>
      <w:proofErr w:type="gramStart"/>
      <w:r w:rsidRPr="00E76C32">
        <w:rPr>
          <w:sz w:val="28"/>
          <w:szCs w:val="28"/>
        </w:rPr>
        <w:t>млрд</w:t>
      </w:r>
      <w:proofErr w:type="gramEnd"/>
      <w:r w:rsidRPr="00E76C32">
        <w:rPr>
          <w:sz w:val="28"/>
          <w:szCs w:val="28"/>
        </w:rPr>
        <w:t xml:space="preserve"> рублей и в сопоставимых ценах увеличился по сравнению с январем-маем 2024 года на </w:t>
      </w:r>
      <w:r w:rsidRPr="001D511D">
        <w:rPr>
          <w:b/>
          <w:sz w:val="28"/>
          <w:szCs w:val="28"/>
        </w:rPr>
        <w:t>3,1%.</w:t>
      </w:r>
    </w:p>
    <w:p w:rsidR="00B54E81" w:rsidRPr="00682ADC" w:rsidRDefault="00B54E81" w:rsidP="00B54E81">
      <w:pPr>
        <w:ind w:firstLine="709"/>
        <w:jc w:val="both"/>
        <w:rPr>
          <w:sz w:val="28"/>
          <w:szCs w:val="28"/>
        </w:rPr>
      </w:pPr>
      <w:r w:rsidRPr="00B54E81">
        <w:rPr>
          <w:sz w:val="28"/>
          <w:szCs w:val="28"/>
        </w:rPr>
        <w:t xml:space="preserve">В общем объеме бытовых услуг наибольший удельный вес приходится на техобслуживание и ремонт транспортных средств, машин и оборудования – 21,2%, </w:t>
      </w:r>
      <w:r w:rsidRPr="00B54E81">
        <w:rPr>
          <w:iCs/>
          <w:sz w:val="28"/>
          <w:szCs w:val="28"/>
        </w:rPr>
        <w:t>ремонт и строительство жилья и других построек</w:t>
      </w:r>
      <w:r w:rsidRPr="00B54E81">
        <w:rPr>
          <w:sz w:val="28"/>
          <w:szCs w:val="28"/>
        </w:rPr>
        <w:t xml:space="preserve"> – 27,3%, парикмахерские и </w:t>
      </w:r>
      <w:r w:rsidRPr="00682ADC">
        <w:rPr>
          <w:sz w:val="28"/>
          <w:szCs w:val="28"/>
        </w:rPr>
        <w:t>косметические услуги – 10,4%, и прочие услуги – 10,5%.</w:t>
      </w:r>
    </w:p>
    <w:p w:rsidR="00F81E6B" w:rsidRPr="00682ADC" w:rsidRDefault="00F81E6B" w:rsidP="00F81E6B">
      <w:pPr>
        <w:ind w:firstLine="709"/>
        <w:jc w:val="both"/>
        <w:rPr>
          <w:bCs/>
          <w:iCs/>
          <w:sz w:val="28"/>
          <w:szCs w:val="28"/>
        </w:rPr>
      </w:pPr>
      <w:r w:rsidRPr="00682ADC">
        <w:rPr>
          <w:b/>
          <w:bCs/>
          <w:i/>
          <w:iCs/>
          <w:sz w:val="28"/>
          <w:szCs w:val="28"/>
        </w:rPr>
        <w:t>Средняя номинальная заработная плата</w:t>
      </w:r>
      <w:r w:rsidRPr="00682ADC">
        <w:rPr>
          <w:bCs/>
          <w:iCs/>
          <w:sz w:val="28"/>
          <w:szCs w:val="28"/>
        </w:rPr>
        <w:t>, начисленная за январь-апрель 2025 года, составила 88</w:t>
      </w:r>
      <w:r w:rsidR="00063628">
        <w:rPr>
          <w:bCs/>
          <w:iCs/>
          <w:sz w:val="28"/>
          <w:szCs w:val="28"/>
        </w:rPr>
        <w:t> </w:t>
      </w:r>
      <w:r w:rsidRPr="00682ADC">
        <w:rPr>
          <w:bCs/>
          <w:iCs/>
          <w:sz w:val="28"/>
          <w:szCs w:val="28"/>
        </w:rPr>
        <w:t xml:space="preserve">645 рублей или </w:t>
      </w:r>
      <w:r w:rsidRPr="001D511D">
        <w:rPr>
          <w:b/>
          <w:bCs/>
          <w:iCs/>
          <w:sz w:val="28"/>
          <w:szCs w:val="28"/>
        </w:rPr>
        <w:t>117,8%</w:t>
      </w:r>
      <w:r w:rsidRPr="00682ADC">
        <w:rPr>
          <w:bCs/>
          <w:iCs/>
          <w:sz w:val="28"/>
          <w:szCs w:val="28"/>
        </w:rPr>
        <w:t xml:space="preserve"> к аналогичному периоду предыдущего года.</w:t>
      </w:r>
    </w:p>
    <w:p w:rsidR="00F81E6B" w:rsidRPr="00682ADC" w:rsidRDefault="00F81E6B" w:rsidP="00F81E6B">
      <w:pPr>
        <w:ind w:firstLine="709"/>
        <w:jc w:val="both"/>
        <w:rPr>
          <w:bCs/>
          <w:iCs/>
          <w:sz w:val="28"/>
          <w:szCs w:val="28"/>
        </w:rPr>
      </w:pPr>
      <w:r w:rsidRPr="00682ADC">
        <w:rPr>
          <w:b/>
          <w:bCs/>
          <w:i/>
          <w:iCs/>
          <w:sz w:val="28"/>
          <w:szCs w:val="28"/>
        </w:rPr>
        <w:t>Реальная начисленная заработная плата</w:t>
      </w:r>
      <w:r w:rsidRPr="00682ADC">
        <w:rPr>
          <w:bCs/>
          <w:i/>
          <w:iCs/>
          <w:sz w:val="28"/>
          <w:szCs w:val="28"/>
        </w:rPr>
        <w:t>,</w:t>
      </w:r>
      <w:r w:rsidRPr="00682ADC">
        <w:rPr>
          <w:bCs/>
          <w:iCs/>
          <w:sz w:val="28"/>
          <w:szCs w:val="28"/>
        </w:rPr>
        <w:t xml:space="preserve"> рассчитанная с учетом индекса потребительских цен, в январе-апреле 2025 года составила </w:t>
      </w:r>
      <w:r w:rsidRPr="001D511D">
        <w:rPr>
          <w:b/>
          <w:bCs/>
          <w:iCs/>
          <w:sz w:val="28"/>
          <w:szCs w:val="28"/>
        </w:rPr>
        <w:t>107,1%</w:t>
      </w:r>
      <w:r w:rsidRPr="00682ADC">
        <w:rPr>
          <w:bCs/>
          <w:iCs/>
          <w:sz w:val="28"/>
          <w:szCs w:val="28"/>
        </w:rPr>
        <w:t xml:space="preserve"> к уровню января-апреля 2024 года.</w:t>
      </w:r>
    </w:p>
    <w:p w:rsidR="00DD59E0" w:rsidRPr="00DD59E0" w:rsidRDefault="00DD59E0" w:rsidP="00DD59E0">
      <w:pPr>
        <w:ind w:firstLine="709"/>
        <w:jc w:val="both"/>
        <w:rPr>
          <w:sz w:val="28"/>
          <w:szCs w:val="28"/>
        </w:rPr>
      </w:pPr>
      <w:r w:rsidRPr="00DD59E0">
        <w:rPr>
          <w:sz w:val="28"/>
          <w:szCs w:val="28"/>
        </w:rPr>
        <w:t xml:space="preserve">О наличии просроченной задолженности по заработной плате по состоянию на 1 июня 2025 года сообщили 2 организации (без субъектов малого предпринимательства) наблюдаемых видов экономической деятельности. Суммарная задолженность составила 26,5 </w:t>
      </w:r>
      <w:proofErr w:type="gramStart"/>
      <w:r w:rsidRPr="00DD59E0">
        <w:rPr>
          <w:sz w:val="28"/>
          <w:szCs w:val="28"/>
        </w:rPr>
        <w:t>млн</w:t>
      </w:r>
      <w:proofErr w:type="gramEnd"/>
      <w:r w:rsidRPr="00DD59E0">
        <w:rPr>
          <w:sz w:val="28"/>
          <w:szCs w:val="28"/>
        </w:rPr>
        <w:t xml:space="preserve"> руб</w:t>
      </w:r>
      <w:r w:rsidR="00063628">
        <w:rPr>
          <w:sz w:val="28"/>
          <w:szCs w:val="28"/>
        </w:rPr>
        <w:t>лей</w:t>
      </w:r>
      <w:r w:rsidRPr="00DD59E0">
        <w:rPr>
          <w:sz w:val="28"/>
          <w:szCs w:val="28"/>
        </w:rPr>
        <w:t>: деятельность финансовая и страховая – 24,4 млн</w:t>
      </w:r>
      <w:r w:rsidR="00063628">
        <w:rPr>
          <w:sz w:val="28"/>
          <w:szCs w:val="28"/>
        </w:rPr>
        <w:t xml:space="preserve"> рублей</w:t>
      </w:r>
      <w:r w:rsidRPr="00DD59E0">
        <w:rPr>
          <w:sz w:val="28"/>
          <w:szCs w:val="28"/>
        </w:rPr>
        <w:t>; производство бума</w:t>
      </w:r>
      <w:r w:rsidR="00063628">
        <w:rPr>
          <w:sz w:val="28"/>
          <w:szCs w:val="28"/>
        </w:rPr>
        <w:t>ги и бумажных изделий – 2,1 млн</w:t>
      </w:r>
      <w:r w:rsidRPr="00DD59E0">
        <w:rPr>
          <w:sz w:val="28"/>
          <w:szCs w:val="28"/>
        </w:rPr>
        <w:t xml:space="preserve"> руб</w:t>
      </w:r>
      <w:r w:rsidR="00063628">
        <w:rPr>
          <w:sz w:val="28"/>
          <w:szCs w:val="28"/>
        </w:rPr>
        <w:t>лей</w:t>
      </w:r>
      <w:r w:rsidRPr="00DD59E0">
        <w:rPr>
          <w:sz w:val="28"/>
          <w:szCs w:val="28"/>
        </w:rPr>
        <w:t>. Численность работников, перед которыми организации имеют просроченную задолженность, составляет 23 человека.</w:t>
      </w:r>
    </w:p>
    <w:p w:rsidR="00DD59E0" w:rsidRPr="00DD59E0" w:rsidRDefault="00DD59E0" w:rsidP="00DD59E0">
      <w:pPr>
        <w:ind w:firstLine="709"/>
        <w:jc w:val="both"/>
        <w:rPr>
          <w:sz w:val="28"/>
          <w:szCs w:val="28"/>
        </w:rPr>
      </w:pPr>
      <w:r w:rsidRPr="00DD59E0">
        <w:rPr>
          <w:sz w:val="28"/>
          <w:szCs w:val="28"/>
        </w:rPr>
        <w:t>Задолженность по выплате пенсий и детских пособий на территории области отсутствует.</w:t>
      </w:r>
    </w:p>
    <w:p w:rsidR="00DD59E0" w:rsidRPr="00DD59E0" w:rsidRDefault="00DD59E0" w:rsidP="00DD59E0">
      <w:pPr>
        <w:ind w:firstLine="709"/>
        <w:jc w:val="both"/>
        <w:rPr>
          <w:iCs/>
          <w:sz w:val="28"/>
          <w:szCs w:val="28"/>
        </w:rPr>
      </w:pPr>
      <w:r w:rsidRPr="00DD59E0">
        <w:rPr>
          <w:b/>
          <w:i/>
          <w:sz w:val="28"/>
          <w:szCs w:val="28"/>
        </w:rPr>
        <w:t>Средний размер назначенной пенсии</w:t>
      </w:r>
      <w:r w:rsidRPr="00DD59E0">
        <w:rPr>
          <w:b/>
          <w:sz w:val="28"/>
          <w:szCs w:val="28"/>
        </w:rPr>
        <w:t xml:space="preserve"> </w:t>
      </w:r>
      <w:r w:rsidRPr="00DD59E0">
        <w:rPr>
          <w:sz w:val="28"/>
          <w:szCs w:val="28"/>
        </w:rPr>
        <w:t xml:space="preserve">(без учета компенсационных выплат) на 1 июня </w:t>
      </w:r>
      <w:r w:rsidRPr="00DD59E0">
        <w:rPr>
          <w:iCs/>
          <w:sz w:val="28"/>
          <w:szCs w:val="28"/>
        </w:rPr>
        <w:t>2025 года составил по области 24</w:t>
      </w:r>
      <w:r w:rsidR="00063628">
        <w:rPr>
          <w:iCs/>
          <w:sz w:val="28"/>
          <w:szCs w:val="28"/>
        </w:rPr>
        <w:t> </w:t>
      </w:r>
      <w:r w:rsidRPr="00DD59E0">
        <w:rPr>
          <w:iCs/>
          <w:sz w:val="28"/>
          <w:szCs w:val="28"/>
        </w:rPr>
        <w:t>419,97 рублей, количество получателей пенсии – 473 558 человек.</w:t>
      </w:r>
    </w:p>
    <w:p w:rsidR="009145DA" w:rsidRPr="009145DA" w:rsidRDefault="00682ADC" w:rsidP="009145DA">
      <w:pPr>
        <w:ind w:firstLine="709"/>
        <w:jc w:val="both"/>
        <w:rPr>
          <w:sz w:val="28"/>
          <w:szCs w:val="28"/>
        </w:rPr>
      </w:pPr>
      <w:r w:rsidRPr="00F01F5C">
        <w:rPr>
          <w:b/>
          <w:sz w:val="28"/>
          <w:szCs w:val="28"/>
        </w:rPr>
        <w:t>Рынок труда</w:t>
      </w:r>
      <w:r w:rsidRPr="001859CB">
        <w:rPr>
          <w:sz w:val="28"/>
          <w:szCs w:val="28"/>
        </w:rPr>
        <w:t xml:space="preserve"> Ленинградской области в мае 202</w:t>
      </w:r>
      <w:r>
        <w:rPr>
          <w:sz w:val="28"/>
          <w:szCs w:val="28"/>
        </w:rPr>
        <w:t>5</w:t>
      </w:r>
      <w:r w:rsidRPr="001859CB">
        <w:rPr>
          <w:sz w:val="28"/>
          <w:szCs w:val="28"/>
        </w:rPr>
        <w:t xml:space="preserve"> года оставался стабильным. </w:t>
      </w:r>
      <w:r w:rsidR="009145DA" w:rsidRPr="009145DA">
        <w:rPr>
          <w:sz w:val="28"/>
          <w:szCs w:val="28"/>
        </w:rPr>
        <w:t>К концу мая 2025 года в государственных учреждениях службы занятости населения состояло на учете 2,5 тыс. не занятых трудовой деятельностью граждан. В качестве безработных было зарегистрировано 1,8 тыс. человек, в том числе 1,5 тыс. человек получали пособие по безработице.</w:t>
      </w:r>
    </w:p>
    <w:p w:rsidR="001954EE" w:rsidRPr="001954EE" w:rsidRDefault="001954EE" w:rsidP="001954EE">
      <w:pPr>
        <w:ind w:firstLine="709"/>
        <w:jc w:val="both"/>
        <w:rPr>
          <w:sz w:val="28"/>
          <w:szCs w:val="28"/>
          <w:lang w:val="x-none"/>
        </w:rPr>
      </w:pPr>
      <w:r w:rsidRPr="001954EE">
        <w:rPr>
          <w:sz w:val="28"/>
          <w:szCs w:val="28"/>
          <w:lang w:val="x-none"/>
        </w:rPr>
        <w:t>На 01.</w:t>
      </w:r>
      <w:r w:rsidRPr="001954EE">
        <w:rPr>
          <w:sz w:val="28"/>
          <w:szCs w:val="28"/>
        </w:rPr>
        <w:t>06</w:t>
      </w:r>
      <w:r w:rsidRPr="001954EE">
        <w:rPr>
          <w:sz w:val="28"/>
          <w:szCs w:val="28"/>
          <w:lang w:val="x-none"/>
        </w:rPr>
        <w:t>.20</w:t>
      </w:r>
      <w:r w:rsidRPr="001954EE">
        <w:rPr>
          <w:sz w:val="28"/>
          <w:szCs w:val="28"/>
        </w:rPr>
        <w:t>25</w:t>
      </w:r>
      <w:r w:rsidRPr="001954EE">
        <w:rPr>
          <w:sz w:val="28"/>
          <w:szCs w:val="28"/>
          <w:lang w:val="x-none"/>
        </w:rPr>
        <w:t xml:space="preserve"> в Ленинградской области:</w:t>
      </w:r>
    </w:p>
    <w:p w:rsidR="001954EE" w:rsidRPr="001954EE" w:rsidRDefault="001954EE" w:rsidP="001954EE">
      <w:pPr>
        <w:ind w:firstLine="709"/>
        <w:jc w:val="both"/>
        <w:rPr>
          <w:bCs/>
          <w:sz w:val="28"/>
          <w:szCs w:val="28"/>
        </w:rPr>
      </w:pPr>
      <w:r w:rsidRPr="001954EE">
        <w:rPr>
          <w:bCs/>
          <w:sz w:val="28"/>
          <w:szCs w:val="28"/>
        </w:rPr>
        <w:t>- уровень  регистрируемой  безработицы</w:t>
      </w:r>
      <w:r w:rsidR="00063628">
        <w:rPr>
          <w:bCs/>
          <w:sz w:val="28"/>
          <w:szCs w:val="28"/>
        </w:rPr>
        <w:t xml:space="preserve"> составил</w:t>
      </w:r>
      <w:r w:rsidRPr="001954EE">
        <w:rPr>
          <w:bCs/>
          <w:sz w:val="28"/>
          <w:szCs w:val="28"/>
        </w:rPr>
        <w:t xml:space="preserve">  </w:t>
      </w:r>
      <w:r w:rsidRPr="001D511D">
        <w:rPr>
          <w:b/>
          <w:bCs/>
          <w:sz w:val="28"/>
          <w:szCs w:val="28"/>
        </w:rPr>
        <w:t>0,16%,</w:t>
      </w:r>
      <w:r w:rsidRPr="001954EE">
        <w:rPr>
          <w:bCs/>
          <w:sz w:val="28"/>
          <w:szCs w:val="28"/>
        </w:rPr>
        <w:t xml:space="preserve"> что на 0,01%  выше значения на 01.01.2025;</w:t>
      </w:r>
    </w:p>
    <w:p w:rsidR="001954EE" w:rsidRPr="001954EE" w:rsidRDefault="001954EE" w:rsidP="001954EE">
      <w:pPr>
        <w:ind w:firstLine="709"/>
        <w:jc w:val="both"/>
        <w:rPr>
          <w:bCs/>
          <w:sz w:val="28"/>
          <w:szCs w:val="28"/>
        </w:rPr>
      </w:pPr>
      <w:r w:rsidRPr="001954EE">
        <w:rPr>
          <w:bCs/>
          <w:sz w:val="28"/>
          <w:szCs w:val="28"/>
        </w:rPr>
        <w:t xml:space="preserve">- граждан, имеющих статус безработного - 1 822 чел., на 159 чел. больше, чем </w:t>
      </w:r>
      <w:r w:rsidRPr="001954EE">
        <w:rPr>
          <w:bCs/>
          <w:sz w:val="28"/>
          <w:szCs w:val="28"/>
        </w:rPr>
        <w:br/>
        <w:t>на 01.01.2025 (1</w:t>
      </w:r>
      <w:r w:rsidRPr="001954EE">
        <w:rPr>
          <w:bCs/>
          <w:sz w:val="28"/>
          <w:szCs w:val="28"/>
          <w:lang w:val="en-US"/>
        </w:rPr>
        <w:t> </w:t>
      </w:r>
      <w:r w:rsidRPr="001954EE">
        <w:rPr>
          <w:bCs/>
          <w:sz w:val="28"/>
          <w:szCs w:val="28"/>
        </w:rPr>
        <w:t>663 чел.).</w:t>
      </w:r>
    </w:p>
    <w:p w:rsidR="001954EE" w:rsidRPr="001954EE" w:rsidRDefault="001954EE" w:rsidP="001954EE">
      <w:pPr>
        <w:ind w:firstLine="709"/>
        <w:jc w:val="both"/>
        <w:rPr>
          <w:sz w:val="28"/>
          <w:szCs w:val="28"/>
        </w:rPr>
      </w:pPr>
      <w:r w:rsidRPr="001954EE">
        <w:rPr>
          <w:sz w:val="28"/>
          <w:szCs w:val="28"/>
        </w:rPr>
        <w:t xml:space="preserve">Соотношение спроса и предложения рабочей силы на рынке труда Ленинградской области: </w:t>
      </w:r>
    </w:p>
    <w:p w:rsidR="001954EE" w:rsidRPr="001954EE" w:rsidRDefault="001954EE" w:rsidP="001954EE">
      <w:pPr>
        <w:ind w:firstLine="709"/>
        <w:jc w:val="both"/>
        <w:rPr>
          <w:sz w:val="28"/>
          <w:szCs w:val="28"/>
        </w:rPr>
      </w:pPr>
      <w:r w:rsidRPr="001954EE">
        <w:rPr>
          <w:sz w:val="28"/>
          <w:szCs w:val="28"/>
        </w:rPr>
        <w:t>- текущий спрос на рабочую силу, заявленный работодателями в службу   занятости, составил 131,4 тыс. ед. (рабочих мест), что на 62,9 тыс. ед. выше значения на 01.01.2025 (68,5 тыс. ед.). Для трудоустройства рабочих предлагались 98,2 тыс. ед. (75%),  для инженерно-технических работников и служащих – 33,2 тыс. ед. (25%).</w:t>
      </w:r>
    </w:p>
    <w:p w:rsidR="001954EE" w:rsidRPr="001954EE" w:rsidRDefault="001954EE" w:rsidP="001954EE">
      <w:pPr>
        <w:ind w:firstLine="709"/>
        <w:jc w:val="both"/>
        <w:rPr>
          <w:sz w:val="28"/>
          <w:szCs w:val="28"/>
        </w:rPr>
      </w:pPr>
      <w:r w:rsidRPr="001954EE">
        <w:rPr>
          <w:sz w:val="28"/>
          <w:szCs w:val="28"/>
        </w:rPr>
        <w:lastRenderedPageBreak/>
        <w:t>К концу мая 2025 года нагрузка незанятого населения, состоящего на учете</w:t>
      </w:r>
      <w:r w:rsidRPr="001954EE">
        <w:rPr>
          <w:sz w:val="28"/>
          <w:szCs w:val="28"/>
        </w:rPr>
        <w:br/>
        <w:t>в государственных учреждениях службы занятости населения, на 10 заявленных вакансий составила 0,2 человека против 0,4 человека в конце мая 2024 года.</w:t>
      </w:r>
    </w:p>
    <w:p w:rsidR="006F1C28" w:rsidRPr="006F1C28" w:rsidRDefault="006F1C28" w:rsidP="006F1C28">
      <w:pPr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>По опубликованным данным</w:t>
      </w:r>
      <w:r w:rsidRPr="006F1C28">
        <w:rPr>
          <w:sz w:val="28"/>
          <w:szCs w:val="28"/>
          <w:vertAlign w:val="superscript"/>
        </w:rPr>
        <w:footnoteReference w:id="1"/>
      </w:r>
      <w:r w:rsidRPr="006F1C28">
        <w:rPr>
          <w:sz w:val="28"/>
          <w:szCs w:val="28"/>
        </w:rPr>
        <w:t xml:space="preserve"> Управления Федеральной службы государственной статистики по г. Санкт-Петербургу и Ленинградской области (</w:t>
      </w:r>
      <w:proofErr w:type="spellStart"/>
      <w:r w:rsidRPr="006F1C28">
        <w:rPr>
          <w:sz w:val="28"/>
          <w:szCs w:val="28"/>
        </w:rPr>
        <w:t>Петростат</w:t>
      </w:r>
      <w:proofErr w:type="spellEnd"/>
      <w:r w:rsidRPr="006F1C28">
        <w:rPr>
          <w:sz w:val="28"/>
          <w:szCs w:val="28"/>
        </w:rPr>
        <w:t>) численность постоянно проживающего населения Ленинградской области на 1 апреля 2025 года составила 2 058,8 тыс. человек, в том числе городское – 1 436,8 тыс. человек (69,8%), сельское – 622,0 тыс. человек (30,2%). С начала года численность населения области уменьшилась на 0,7 тыс. человек (на 0,03%). Сокращение численности населения обусловлено сохранением естественной убыли населения и снижением миграционного притока, который только на 77% компенсировал естественную убыль населения.</w:t>
      </w:r>
    </w:p>
    <w:p w:rsidR="006F1C28" w:rsidRPr="006F1C28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 xml:space="preserve">По информации </w:t>
      </w:r>
      <w:r w:rsidRPr="006F1C28">
        <w:rPr>
          <w:b/>
          <w:sz w:val="28"/>
          <w:szCs w:val="28"/>
        </w:rPr>
        <w:t xml:space="preserve"> Управления ЗАГС ЛО </w:t>
      </w:r>
      <w:r w:rsidRPr="006F1C28">
        <w:rPr>
          <w:sz w:val="28"/>
          <w:szCs w:val="28"/>
        </w:rPr>
        <w:t>по итогам января-мая 2025 года произведена регистрация:</w:t>
      </w:r>
    </w:p>
    <w:p w:rsidR="006F1C28" w:rsidRPr="006F1C28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>- рождений в количестве 4</w:t>
      </w:r>
      <w:r w:rsidR="00063628">
        <w:rPr>
          <w:sz w:val="28"/>
          <w:szCs w:val="28"/>
        </w:rPr>
        <w:t> </w:t>
      </w:r>
      <w:r w:rsidRPr="006F1C28">
        <w:rPr>
          <w:sz w:val="28"/>
          <w:szCs w:val="28"/>
        </w:rPr>
        <w:t>610 записей (94,7% к аналогичному периоду прошлого года). Число рождений, где оба родителя являются жителями Ленинградской области</w:t>
      </w:r>
      <w:r w:rsidR="00C0790B">
        <w:rPr>
          <w:sz w:val="28"/>
          <w:szCs w:val="28"/>
        </w:rPr>
        <w:t>,</w:t>
      </w:r>
      <w:r w:rsidRPr="006F1C28">
        <w:rPr>
          <w:sz w:val="28"/>
          <w:szCs w:val="28"/>
        </w:rPr>
        <w:t xml:space="preserve"> составляет 2</w:t>
      </w:r>
      <w:r w:rsidR="00063628">
        <w:rPr>
          <w:sz w:val="28"/>
          <w:szCs w:val="28"/>
        </w:rPr>
        <w:t> </w:t>
      </w:r>
      <w:r w:rsidRPr="006F1C28">
        <w:rPr>
          <w:sz w:val="28"/>
          <w:szCs w:val="28"/>
        </w:rPr>
        <w:t xml:space="preserve">528 (54,8% от всех регистраций). </w:t>
      </w:r>
    </w:p>
    <w:p w:rsidR="006F1C28" w:rsidRPr="00C0790B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0790B">
        <w:rPr>
          <w:sz w:val="28"/>
          <w:szCs w:val="28"/>
        </w:rPr>
        <w:t>На регистрацию первых рождений приходится 39,9%; вторых – 30,4%; третьих</w:t>
      </w:r>
      <w:r w:rsidR="00C0790B">
        <w:rPr>
          <w:sz w:val="28"/>
          <w:szCs w:val="28"/>
        </w:rPr>
        <w:t xml:space="preserve"> - 18,8% </w:t>
      </w:r>
      <w:r w:rsidRPr="00C0790B">
        <w:rPr>
          <w:sz w:val="28"/>
          <w:szCs w:val="28"/>
        </w:rPr>
        <w:t>и последующих - 10,7%;</w:t>
      </w:r>
    </w:p>
    <w:p w:rsidR="006F1C28" w:rsidRPr="006F1C28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>- смерти в количестве 9</w:t>
      </w:r>
      <w:r w:rsidR="00063628">
        <w:rPr>
          <w:sz w:val="28"/>
          <w:szCs w:val="28"/>
        </w:rPr>
        <w:t> </w:t>
      </w:r>
      <w:r w:rsidRPr="006F1C28">
        <w:rPr>
          <w:sz w:val="28"/>
          <w:szCs w:val="28"/>
        </w:rPr>
        <w:t xml:space="preserve">222 записи (по отношению к аналогичному периоду прошлого года </w:t>
      </w:r>
      <w:r w:rsidR="00C0790B">
        <w:rPr>
          <w:sz w:val="28"/>
          <w:szCs w:val="28"/>
        </w:rPr>
        <w:t xml:space="preserve">- </w:t>
      </w:r>
      <w:r w:rsidRPr="006F1C28">
        <w:rPr>
          <w:sz w:val="28"/>
          <w:szCs w:val="28"/>
        </w:rPr>
        <w:t>снижение на 7,4%). При этом в общем количестве регистраций 17,4% не являются жителями Ленинградской области;</w:t>
      </w:r>
    </w:p>
    <w:p w:rsidR="006F1C28" w:rsidRPr="006F1C28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 xml:space="preserve">- брака </w:t>
      </w:r>
      <w:r w:rsidR="00063628">
        <w:rPr>
          <w:sz w:val="28"/>
          <w:szCs w:val="28"/>
        </w:rPr>
        <w:t>–</w:t>
      </w:r>
      <w:r w:rsidR="00C0790B">
        <w:rPr>
          <w:sz w:val="28"/>
          <w:szCs w:val="28"/>
        </w:rPr>
        <w:t xml:space="preserve"> </w:t>
      </w:r>
      <w:r w:rsidRPr="006F1C28">
        <w:rPr>
          <w:sz w:val="28"/>
          <w:szCs w:val="28"/>
        </w:rPr>
        <w:t>2</w:t>
      </w:r>
      <w:r w:rsidR="00063628">
        <w:rPr>
          <w:sz w:val="28"/>
          <w:szCs w:val="28"/>
        </w:rPr>
        <w:t> </w:t>
      </w:r>
      <w:r w:rsidRPr="006F1C28">
        <w:rPr>
          <w:sz w:val="28"/>
          <w:szCs w:val="28"/>
        </w:rPr>
        <w:t>234 записи (95,5% составляет к аналогичному периоду прошлого года);</w:t>
      </w:r>
    </w:p>
    <w:p w:rsidR="00C0790B" w:rsidRDefault="006F1C28" w:rsidP="006F1C2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1C28">
        <w:rPr>
          <w:sz w:val="28"/>
          <w:szCs w:val="28"/>
        </w:rPr>
        <w:t xml:space="preserve">- расторжения брака </w:t>
      </w:r>
      <w:r w:rsidR="00063628">
        <w:rPr>
          <w:sz w:val="28"/>
          <w:szCs w:val="28"/>
        </w:rPr>
        <w:t>–</w:t>
      </w:r>
      <w:r w:rsidR="00C0790B">
        <w:rPr>
          <w:sz w:val="28"/>
          <w:szCs w:val="28"/>
        </w:rPr>
        <w:t xml:space="preserve"> </w:t>
      </w:r>
      <w:r w:rsidRPr="006F1C28">
        <w:rPr>
          <w:sz w:val="28"/>
          <w:szCs w:val="28"/>
        </w:rPr>
        <w:t>2</w:t>
      </w:r>
      <w:r w:rsidR="00063628">
        <w:rPr>
          <w:sz w:val="28"/>
          <w:szCs w:val="28"/>
        </w:rPr>
        <w:t> </w:t>
      </w:r>
      <w:r w:rsidRPr="006F1C28">
        <w:rPr>
          <w:sz w:val="28"/>
          <w:szCs w:val="28"/>
        </w:rPr>
        <w:t xml:space="preserve">003 записи. По отношению к аналогичному периоду прошлого года </w:t>
      </w:r>
      <w:r w:rsidR="00C0790B">
        <w:rPr>
          <w:sz w:val="28"/>
          <w:szCs w:val="28"/>
        </w:rPr>
        <w:t xml:space="preserve">- </w:t>
      </w:r>
      <w:r w:rsidRPr="006F1C28">
        <w:rPr>
          <w:sz w:val="28"/>
          <w:szCs w:val="28"/>
        </w:rPr>
        <w:t>снижение на 21,9%.</w:t>
      </w:r>
    </w:p>
    <w:p w:rsidR="00C0790B" w:rsidRDefault="00C0790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7FB2" w:rsidRPr="0012320C" w:rsidRDefault="00637FB2" w:rsidP="00C0148E">
      <w:pPr>
        <w:pStyle w:val="a3"/>
        <w:shd w:val="clear" w:color="auto" w:fill="FFFFFF" w:themeFill="background1"/>
        <w:ind w:firstLine="0"/>
        <w:jc w:val="center"/>
        <w:rPr>
          <w:b/>
          <w:szCs w:val="28"/>
        </w:rPr>
      </w:pPr>
      <w:r w:rsidRPr="0012320C">
        <w:rPr>
          <w:b/>
          <w:szCs w:val="28"/>
        </w:rPr>
        <w:lastRenderedPageBreak/>
        <w:t xml:space="preserve">ОЖИДАЕМЫЕ ИТОГИ </w:t>
      </w:r>
      <w:proofErr w:type="gramStart"/>
      <w:r w:rsidRPr="0012320C">
        <w:rPr>
          <w:b/>
          <w:szCs w:val="28"/>
        </w:rPr>
        <w:t>СОЦИАЛЬНО-ЭКОНОМИЧЕСКОГО</w:t>
      </w:r>
      <w:proofErr w:type="gramEnd"/>
      <w:r w:rsidRPr="0012320C">
        <w:rPr>
          <w:b/>
          <w:szCs w:val="28"/>
        </w:rPr>
        <w:t xml:space="preserve"> </w:t>
      </w:r>
    </w:p>
    <w:p w:rsidR="00637FB2" w:rsidRPr="0012320C" w:rsidRDefault="00637FB2" w:rsidP="00C0148E">
      <w:pPr>
        <w:pStyle w:val="a3"/>
        <w:shd w:val="clear" w:color="auto" w:fill="FFFFFF" w:themeFill="background1"/>
        <w:ind w:firstLine="0"/>
        <w:jc w:val="center"/>
        <w:rPr>
          <w:b/>
          <w:szCs w:val="28"/>
        </w:rPr>
      </w:pPr>
      <w:r w:rsidRPr="0012320C">
        <w:rPr>
          <w:b/>
          <w:szCs w:val="28"/>
        </w:rPr>
        <w:t xml:space="preserve">РАЗВИТИЯ ЛЕНИНГРАДСКОЙ ОБЛАСТИ </w:t>
      </w:r>
    </w:p>
    <w:p w:rsidR="00637FB2" w:rsidRPr="0012320C" w:rsidRDefault="00637FB2" w:rsidP="00C0148E">
      <w:pPr>
        <w:pStyle w:val="a3"/>
        <w:shd w:val="clear" w:color="auto" w:fill="FFFFFF" w:themeFill="background1"/>
        <w:ind w:firstLine="0"/>
        <w:jc w:val="center"/>
        <w:rPr>
          <w:b/>
          <w:szCs w:val="28"/>
        </w:rPr>
      </w:pPr>
      <w:r w:rsidRPr="0012320C">
        <w:rPr>
          <w:b/>
          <w:szCs w:val="28"/>
        </w:rPr>
        <w:t>ЗА 20</w:t>
      </w:r>
      <w:r w:rsidR="00413D88" w:rsidRPr="0012320C">
        <w:rPr>
          <w:b/>
          <w:szCs w:val="28"/>
        </w:rPr>
        <w:t>2</w:t>
      </w:r>
      <w:r w:rsidR="00351C78">
        <w:rPr>
          <w:b/>
          <w:szCs w:val="28"/>
        </w:rPr>
        <w:t>5</w:t>
      </w:r>
      <w:r w:rsidRPr="0012320C">
        <w:rPr>
          <w:b/>
          <w:szCs w:val="28"/>
        </w:rPr>
        <w:t xml:space="preserve"> ГОД</w:t>
      </w:r>
    </w:p>
    <w:p w:rsidR="0074768F" w:rsidRDefault="0074768F" w:rsidP="00C0148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4B106B" w:rsidRDefault="004B106B" w:rsidP="00C0148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B106B">
        <w:rPr>
          <w:sz w:val="28"/>
          <w:szCs w:val="28"/>
        </w:rPr>
        <w:t xml:space="preserve">Экономическая динамика Ленинградской области </w:t>
      </w:r>
      <w:r>
        <w:rPr>
          <w:sz w:val="28"/>
          <w:szCs w:val="28"/>
        </w:rPr>
        <w:t>в 202</w:t>
      </w:r>
      <w:r w:rsidR="00351C7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B106B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4B106B">
        <w:rPr>
          <w:sz w:val="28"/>
          <w:szCs w:val="28"/>
        </w:rPr>
        <w:t xml:space="preserve"> позволяет говорить об устойчиво</w:t>
      </w:r>
      <w:r w:rsidR="00071F4D">
        <w:rPr>
          <w:sz w:val="28"/>
          <w:szCs w:val="28"/>
        </w:rPr>
        <w:t xml:space="preserve">м </w:t>
      </w:r>
      <w:r w:rsidRPr="004B106B">
        <w:rPr>
          <w:sz w:val="28"/>
          <w:szCs w:val="28"/>
        </w:rPr>
        <w:t>рост</w:t>
      </w:r>
      <w:r w:rsidR="00071F4D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ED6F94" w:rsidRDefault="00255EA2" w:rsidP="00C0148E">
      <w:pPr>
        <w:shd w:val="clear" w:color="auto" w:fill="FFFFFF" w:themeFill="background1"/>
        <w:ind w:firstLine="720"/>
        <w:jc w:val="both"/>
        <w:rPr>
          <w:sz w:val="28"/>
          <w:szCs w:val="28"/>
          <w:highlight w:val="yellow"/>
        </w:rPr>
      </w:pPr>
      <w:r w:rsidRPr="00F5317B">
        <w:rPr>
          <w:sz w:val="28"/>
          <w:szCs w:val="28"/>
        </w:rPr>
        <w:t>Ожидаемые</w:t>
      </w:r>
      <w:r>
        <w:rPr>
          <w:sz w:val="28"/>
          <w:szCs w:val="28"/>
        </w:rPr>
        <w:t xml:space="preserve"> итоги социально-экономического развития Ленинградской области за текущий 202</w:t>
      </w:r>
      <w:r w:rsidR="00351C78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</w:t>
      </w:r>
      <w:r w:rsidR="004B106B">
        <w:rPr>
          <w:sz w:val="28"/>
          <w:szCs w:val="28"/>
        </w:rPr>
        <w:t>и</w:t>
      </w:r>
      <w:r>
        <w:rPr>
          <w:sz w:val="28"/>
          <w:szCs w:val="28"/>
        </w:rPr>
        <w:t>ведены с учетом итогов января-мая 202</w:t>
      </w:r>
      <w:r w:rsidR="00351C78">
        <w:rPr>
          <w:sz w:val="28"/>
          <w:szCs w:val="28"/>
        </w:rPr>
        <w:t>5</w:t>
      </w:r>
      <w:r w:rsidR="00D01988">
        <w:rPr>
          <w:sz w:val="28"/>
          <w:szCs w:val="28"/>
        </w:rPr>
        <w:t xml:space="preserve"> года и основных</w:t>
      </w:r>
      <w:r>
        <w:rPr>
          <w:sz w:val="28"/>
          <w:szCs w:val="28"/>
        </w:rPr>
        <w:t xml:space="preserve"> параметр</w:t>
      </w:r>
      <w:r w:rsidR="00D01988">
        <w:rPr>
          <w:sz w:val="28"/>
          <w:szCs w:val="28"/>
        </w:rPr>
        <w:t>ов</w:t>
      </w:r>
      <w:r>
        <w:rPr>
          <w:sz w:val="28"/>
          <w:szCs w:val="28"/>
        </w:rPr>
        <w:t xml:space="preserve"> прогноза социально-экономического развития Российской Федерации на </w:t>
      </w:r>
      <w:r w:rsidRPr="00517F9A">
        <w:rPr>
          <w:sz w:val="28"/>
          <w:szCs w:val="28"/>
        </w:rPr>
        <w:t>202</w:t>
      </w:r>
      <w:r w:rsidR="009D67D2">
        <w:rPr>
          <w:sz w:val="28"/>
          <w:szCs w:val="28"/>
        </w:rPr>
        <w:t>6</w:t>
      </w:r>
      <w:r w:rsidRPr="00517F9A">
        <w:rPr>
          <w:sz w:val="28"/>
          <w:szCs w:val="28"/>
        </w:rPr>
        <w:t xml:space="preserve"> год и на плановый период 202</w:t>
      </w:r>
      <w:r w:rsidR="009D67D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17F9A">
        <w:rPr>
          <w:sz w:val="28"/>
          <w:szCs w:val="28"/>
        </w:rPr>
        <w:t>и 202</w:t>
      </w:r>
      <w:r w:rsidR="009D67D2">
        <w:rPr>
          <w:sz w:val="28"/>
          <w:szCs w:val="28"/>
        </w:rPr>
        <w:t>8</w:t>
      </w:r>
      <w:r w:rsidRPr="00517F9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представленны</w:t>
      </w:r>
      <w:r w:rsidR="00D01988">
        <w:rPr>
          <w:sz w:val="28"/>
          <w:szCs w:val="28"/>
        </w:rPr>
        <w:t>х</w:t>
      </w:r>
      <w:r>
        <w:rPr>
          <w:sz w:val="28"/>
          <w:szCs w:val="28"/>
        </w:rPr>
        <w:t xml:space="preserve"> Министерством экономического развития Российской Федерации в мае 202</w:t>
      </w:r>
      <w:r w:rsidR="009D67D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D67D2" w:rsidRPr="00732976" w:rsidRDefault="009D67D2" w:rsidP="009D67D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732976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5</w:t>
      </w:r>
      <w:r w:rsidRPr="00732976">
        <w:rPr>
          <w:color w:val="000000" w:themeColor="text1"/>
          <w:sz w:val="28"/>
          <w:szCs w:val="28"/>
        </w:rPr>
        <w:t xml:space="preserve"> году объем </w:t>
      </w:r>
      <w:r w:rsidRPr="004C4785">
        <w:rPr>
          <w:b/>
          <w:color w:val="000000" w:themeColor="text1"/>
          <w:sz w:val="28"/>
          <w:szCs w:val="28"/>
        </w:rPr>
        <w:t>ВРП</w:t>
      </w:r>
      <w:r w:rsidRPr="00732976">
        <w:rPr>
          <w:color w:val="000000" w:themeColor="text1"/>
          <w:sz w:val="28"/>
          <w:szCs w:val="28"/>
        </w:rPr>
        <w:t xml:space="preserve"> прогнозируется на уровне </w:t>
      </w:r>
      <w:r>
        <w:rPr>
          <w:color w:val="000000" w:themeColor="text1"/>
          <w:sz w:val="28"/>
          <w:szCs w:val="28"/>
        </w:rPr>
        <w:t>2</w:t>
      </w:r>
      <w:r w:rsidR="0057445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319,0 </w:t>
      </w:r>
      <w:proofErr w:type="gramStart"/>
      <w:r>
        <w:rPr>
          <w:color w:val="000000" w:themeColor="text1"/>
          <w:sz w:val="28"/>
          <w:szCs w:val="28"/>
        </w:rPr>
        <w:t>млрд</w:t>
      </w:r>
      <w:proofErr w:type="gramEnd"/>
      <w:r>
        <w:rPr>
          <w:color w:val="000000" w:themeColor="text1"/>
          <w:sz w:val="28"/>
          <w:szCs w:val="28"/>
        </w:rPr>
        <w:t xml:space="preserve"> руб.</w:t>
      </w:r>
      <w:r w:rsidR="00574455">
        <w:rPr>
          <w:color w:val="000000" w:themeColor="text1"/>
          <w:sz w:val="28"/>
          <w:szCs w:val="28"/>
        </w:rPr>
        <w:t xml:space="preserve"> </w:t>
      </w:r>
      <w:r w:rsidRPr="00732976">
        <w:rPr>
          <w:color w:val="000000" w:themeColor="text1"/>
          <w:sz w:val="28"/>
          <w:szCs w:val="28"/>
        </w:rPr>
        <w:t>(1</w:t>
      </w:r>
      <w:r w:rsidR="00574455">
        <w:rPr>
          <w:color w:val="000000" w:themeColor="text1"/>
          <w:sz w:val="28"/>
          <w:szCs w:val="28"/>
        </w:rPr>
        <w:t>02,</w:t>
      </w:r>
      <w:r w:rsidRPr="00732976">
        <w:rPr>
          <w:color w:val="000000" w:themeColor="text1"/>
          <w:sz w:val="28"/>
          <w:szCs w:val="28"/>
        </w:rPr>
        <w:t>5%</w:t>
      </w:r>
      <w:r w:rsidR="00574455">
        <w:rPr>
          <w:color w:val="000000" w:themeColor="text1"/>
          <w:sz w:val="28"/>
          <w:szCs w:val="28"/>
        </w:rPr>
        <w:t xml:space="preserve"> к 2024 году</w:t>
      </w:r>
      <w:r w:rsidRPr="00732976">
        <w:rPr>
          <w:color w:val="000000" w:themeColor="text1"/>
          <w:sz w:val="28"/>
          <w:szCs w:val="28"/>
        </w:rPr>
        <w:t>)</w:t>
      </w:r>
      <w:r w:rsidR="00574455">
        <w:rPr>
          <w:color w:val="000000" w:themeColor="text1"/>
          <w:sz w:val="28"/>
          <w:szCs w:val="28"/>
        </w:rPr>
        <w:t xml:space="preserve"> </w:t>
      </w:r>
      <w:r w:rsidRPr="00732976">
        <w:rPr>
          <w:color w:val="000000" w:themeColor="text1"/>
          <w:sz w:val="28"/>
          <w:szCs w:val="28"/>
        </w:rPr>
        <w:t xml:space="preserve">в результате положительной динамики развития в </w:t>
      </w:r>
      <w:r w:rsidR="00574455">
        <w:rPr>
          <w:color w:val="000000" w:themeColor="text1"/>
          <w:sz w:val="28"/>
          <w:szCs w:val="28"/>
        </w:rPr>
        <w:t xml:space="preserve">реальном секторе экономики, составляющем порядке 75% от общего объема ВРП, а именно в:  </w:t>
      </w:r>
      <w:r w:rsidRPr="00732976">
        <w:rPr>
          <w:color w:val="000000" w:themeColor="text1"/>
          <w:sz w:val="28"/>
          <w:szCs w:val="28"/>
        </w:rPr>
        <w:t>промышленности, строительстве, сельско</w:t>
      </w:r>
      <w:r w:rsidR="00574455">
        <w:rPr>
          <w:color w:val="000000" w:themeColor="text1"/>
          <w:sz w:val="28"/>
          <w:szCs w:val="28"/>
        </w:rPr>
        <w:t>м</w:t>
      </w:r>
      <w:r w:rsidRPr="00732976">
        <w:rPr>
          <w:color w:val="000000" w:themeColor="text1"/>
          <w:sz w:val="28"/>
          <w:szCs w:val="28"/>
        </w:rPr>
        <w:t xml:space="preserve"> хозяйств</w:t>
      </w:r>
      <w:r w:rsidR="00574455">
        <w:rPr>
          <w:color w:val="000000" w:themeColor="text1"/>
          <w:sz w:val="28"/>
          <w:szCs w:val="28"/>
        </w:rPr>
        <w:t>е</w:t>
      </w:r>
      <w:r w:rsidRPr="00732976">
        <w:rPr>
          <w:color w:val="000000" w:themeColor="text1"/>
          <w:sz w:val="28"/>
          <w:szCs w:val="28"/>
        </w:rPr>
        <w:t xml:space="preserve"> и </w:t>
      </w:r>
      <w:r w:rsidR="00574455">
        <w:rPr>
          <w:color w:val="000000" w:themeColor="text1"/>
          <w:sz w:val="28"/>
          <w:szCs w:val="28"/>
        </w:rPr>
        <w:t xml:space="preserve">в </w:t>
      </w:r>
      <w:r w:rsidRPr="00732976">
        <w:rPr>
          <w:color w:val="000000" w:themeColor="text1"/>
          <w:sz w:val="28"/>
          <w:szCs w:val="28"/>
        </w:rPr>
        <w:t>сфере потребительских услуг, транспорта и торговли.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4C4785">
        <w:rPr>
          <w:bCs/>
          <w:color w:val="000000" w:themeColor="text1"/>
          <w:sz w:val="28"/>
          <w:szCs w:val="28"/>
        </w:rPr>
        <w:t>В 2025 году</w:t>
      </w:r>
      <w:r w:rsidRPr="00055CEE">
        <w:rPr>
          <w:bCs/>
          <w:color w:val="000000" w:themeColor="text1"/>
          <w:sz w:val="28"/>
          <w:szCs w:val="28"/>
        </w:rPr>
        <w:t xml:space="preserve"> </w:t>
      </w:r>
      <w:r w:rsidRPr="004C4785">
        <w:rPr>
          <w:b/>
          <w:bCs/>
          <w:color w:val="000000" w:themeColor="text1"/>
          <w:sz w:val="28"/>
          <w:szCs w:val="28"/>
        </w:rPr>
        <w:t>индекс промышленного производства</w:t>
      </w:r>
      <w:r w:rsidRPr="00055CEE">
        <w:rPr>
          <w:bCs/>
          <w:color w:val="000000" w:themeColor="text1"/>
          <w:sz w:val="28"/>
          <w:szCs w:val="28"/>
        </w:rPr>
        <w:t xml:space="preserve"> по полному кругу промышленных предприятий области оценивается на уровне 101,0% к 2024 году. 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 xml:space="preserve">В следующих обрабатывающих производствах, имеющих значимую долю при формировании сводного индекса промышленного производства, по оценке 2025 года прогнозируется стабильный прирост: 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пищевых продуктов на 2,6% к 2024 году,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табачных изделий на 0,5%,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бумаги и бумажных изделий на 3%,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кокса и нефтепродуктов на 5%,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 xml:space="preserve">- в производстве резиновых и пластмассовых изделий 3,4%, 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химических веществ и химических продуктов на 3%.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При этом по отдельным отраслям</w:t>
      </w:r>
      <w:r w:rsidR="004C4785">
        <w:rPr>
          <w:bCs/>
          <w:color w:val="000000" w:themeColor="text1"/>
          <w:sz w:val="28"/>
          <w:szCs w:val="28"/>
        </w:rPr>
        <w:t xml:space="preserve"> </w:t>
      </w:r>
      <w:r w:rsidRPr="00055CEE">
        <w:rPr>
          <w:bCs/>
          <w:color w:val="000000" w:themeColor="text1"/>
          <w:sz w:val="28"/>
          <w:szCs w:val="28"/>
        </w:rPr>
        <w:t>ожидается снижение уровня производства по итогам года: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прочих транспортных средств и оборудования на 20%,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готовых металлических изделий, кроме машин и оборудования на 10%,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производстве металлургическом на 20%,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- в деятельности полиграфической и копирование носителей информации на 15%.</w:t>
      </w:r>
    </w:p>
    <w:p w:rsidR="007E75CA" w:rsidRPr="00055CEE" w:rsidRDefault="007E75CA" w:rsidP="007E75CA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 xml:space="preserve">Снижение производства в данных отраслях обусловлено снижением крупными производителями выпуска отдельных номенклатурных позиций. 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055CEE">
        <w:rPr>
          <w:bCs/>
          <w:color w:val="000000" w:themeColor="text1"/>
          <w:sz w:val="28"/>
          <w:szCs w:val="28"/>
        </w:rPr>
        <w:t>Также в 2025 году планируется рост производства в отдельных отраслях, имеющих небольшую долю при формировании сводного индекса промышленного производства, а именно: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- в производстве текстильных изделий (оценка ИПП – 110%), 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в производстве автотранспортных средств, прицепов и полуприцепов (115%),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в производстве мебели (110%),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по ремонту и монтажу машин и оборудования (110%).</w:t>
      </w:r>
    </w:p>
    <w:p w:rsidR="007E75CA" w:rsidRPr="00055CEE" w:rsidRDefault="007E75CA" w:rsidP="007E75CA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Прогнозируемый рост по данным отраслям обусловлен восстановлением положительной динамики производства и низкой расчетной базой 2024 года.</w:t>
      </w:r>
    </w:p>
    <w:p w:rsidR="005F0282" w:rsidRPr="00575128" w:rsidRDefault="005F0282" w:rsidP="005F028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5F0282">
        <w:rPr>
          <w:color w:val="000000" w:themeColor="text1"/>
          <w:sz w:val="28"/>
          <w:szCs w:val="28"/>
        </w:rPr>
        <w:lastRenderedPageBreak/>
        <w:t>По оценке в 2025 году ожидается</w:t>
      </w:r>
      <w:r w:rsidRPr="00575128">
        <w:rPr>
          <w:color w:val="000000" w:themeColor="text1"/>
          <w:sz w:val="28"/>
          <w:szCs w:val="28"/>
        </w:rPr>
        <w:t xml:space="preserve">, что объем </w:t>
      </w:r>
      <w:r w:rsidRPr="005F0282">
        <w:rPr>
          <w:b/>
          <w:color w:val="000000" w:themeColor="text1"/>
          <w:sz w:val="28"/>
          <w:szCs w:val="28"/>
        </w:rPr>
        <w:t>добычи нерудных строительных материалов</w:t>
      </w:r>
      <w:r w:rsidRPr="00575128">
        <w:rPr>
          <w:color w:val="000000" w:themeColor="text1"/>
          <w:sz w:val="28"/>
          <w:szCs w:val="28"/>
        </w:rPr>
        <w:t xml:space="preserve"> незначительно превысит объем добычи прошлого года на 5-10% с учетом увеличения объемов отгрузки песка и щебня. Индекс промышленного производства по добыче прочих полезных ископаемых составит 105%.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В </w:t>
      </w:r>
      <w:r w:rsidRPr="00055CEE">
        <w:rPr>
          <w:b/>
          <w:color w:val="000000" w:themeColor="text1"/>
          <w:sz w:val="28"/>
          <w:szCs w:val="28"/>
        </w:rPr>
        <w:t>2025 году</w:t>
      </w:r>
      <w:r w:rsidRPr="00055CEE">
        <w:rPr>
          <w:color w:val="000000" w:themeColor="text1"/>
          <w:sz w:val="28"/>
          <w:szCs w:val="28"/>
        </w:rPr>
        <w:t xml:space="preserve"> сохранились меры поддержки </w:t>
      </w:r>
      <w:r w:rsidRPr="00055CEE">
        <w:rPr>
          <w:b/>
          <w:color w:val="000000" w:themeColor="text1"/>
          <w:sz w:val="28"/>
          <w:szCs w:val="28"/>
        </w:rPr>
        <w:t>промышленных предприятий</w:t>
      </w:r>
      <w:r w:rsidRPr="00055CEE">
        <w:rPr>
          <w:color w:val="000000" w:themeColor="text1"/>
          <w:sz w:val="28"/>
          <w:szCs w:val="28"/>
        </w:rPr>
        <w:t xml:space="preserve">, принятые Правительством Ленинградской области, в том числе: 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1. Льготные займы промышленным предприятиям: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- предоставление льготного заемного финансирования субъектам промышленности, осуществляющим деятельность по видам экономической деятельности </w:t>
      </w:r>
      <w:r>
        <w:rPr>
          <w:color w:val="000000" w:themeColor="text1"/>
          <w:sz w:val="28"/>
          <w:szCs w:val="28"/>
        </w:rPr>
        <w:t>«</w:t>
      </w:r>
      <w:r w:rsidRPr="00055CEE">
        <w:rPr>
          <w:color w:val="000000" w:themeColor="text1"/>
          <w:sz w:val="28"/>
          <w:szCs w:val="28"/>
        </w:rPr>
        <w:t>Обрабатывающие производства</w:t>
      </w:r>
      <w:r>
        <w:rPr>
          <w:color w:val="000000" w:themeColor="text1"/>
          <w:sz w:val="28"/>
          <w:szCs w:val="28"/>
        </w:rPr>
        <w:t>»</w:t>
      </w:r>
      <w:r w:rsidRPr="00055CEE">
        <w:rPr>
          <w:color w:val="000000" w:themeColor="text1"/>
          <w:sz w:val="28"/>
          <w:szCs w:val="28"/>
        </w:rPr>
        <w:t xml:space="preserve">, в том числе в строительной отрасли по программам </w:t>
      </w:r>
      <w:r>
        <w:rPr>
          <w:color w:val="000000" w:themeColor="text1"/>
          <w:sz w:val="28"/>
          <w:szCs w:val="28"/>
        </w:rPr>
        <w:t>«</w:t>
      </w:r>
      <w:proofErr w:type="spellStart"/>
      <w:r w:rsidRPr="00055CEE">
        <w:rPr>
          <w:color w:val="000000" w:themeColor="text1"/>
          <w:sz w:val="28"/>
          <w:szCs w:val="28"/>
        </w:rPr>
        <w:t>Цифровизация</w:t>
      </w:r>
      <w:proofErr w:type="spellEnd"/>
      <w:r>
        <w:rPr>
          <w:color w:val="000000" w:themeColor="text1"/>
          <w:sz w:val="28"/>
          <w:szCs w:val="28"/>
        </w:rPr>
        <w:t>»</w:t>
      </w:r>
      <w:r w:rsidRPr="00055CE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«</w:t>
      </w:r>
      <w:r w:rsidRPr="00055CEE">
        <w:rPr>
          <w:color w:val="000000" w:themeColor="text1"/>
          <w:sz w:val="28"/>
          <w:szCs w:val="28"/>
        </w:rPr>
        <w:t xml:space="preserve">Проекты </w:t>
      </w:r>
      <w:proofErr w:type="spellStart"/>
      <w:r w:rsidRPr="00055CEE">
        <w:rPr>
          <w:color w:val="000000" w:themeColor="text1"/>
          <w:sz w:val="28"/>
          <w:szCs w:val="28"/>
        </w:rPr>
        <w:t>импортозамещения</w:t>
      </w:r>
      <w:proofErr w:type="spellEnd"/>
      <w:r>
        <w:rPr>
          <w:color w:val="000000" w:themeColor="text1"/>
          <w:sz w:val="28"/>
          <w:szCs w:val="28"/>
        </w:rPr>
        <w:t>»</w:t>
      </w:r>
      <w:r w:rsidRPr="00055CEE">
        <w:rPr>
          <w:color w:val="000000" w:themeColor="text1"/>
          <w:sz w:val="28"/>
          <w:szCs w:val="28"/>
        </w:rPr>
        <w:t xml:space="preserve"> (со ставкой 1-3%);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предоставление льготных займо</w:t>
      </w:r>
      <w:r w:rsidR="005F0282">
        <w:rPr>
          <w:color w:val="000000" w:themeColor="text1"/>
          <w:sz w:val="28"/>
          <w:szCs w:val="28"/>
        </w:rPr>
        <w:t>в</w:t>
      </w:r>
      <w:r w:rsidRPr="00055CEE">
        <w:rPr>
          <w:color w:val="000000" w:themeColor="text1"/>
          <w:sz w:val="28"/>
          <w:szCs w:val="28"/>
        </w:rPr>
        <w:t xml:space="preserve"> на совместные программы с федеральным государственным автономным учреждением </w:t>
      </w:r>
      <w:r>
        <w:rPr>
          <w:color w:val="000000" w:themeColor="text1"/>
          <w:sz w:val="28"/>
          <w:szCs w:val="28"/>
        </w:rPr>
        <w:t>«</w:t>
      </w:r>
      <w:r w:rsidRPr="00055CEE">
        <w:rPr>
          <w:color w:val="000000" w:themeColor="text1"/>
          <w:sz w:val="28"/>
          <w:szCs w:val="28"/>
        </w:rPr>
        <w:t>Российский фонд технологического развития</w:t>
      </w:r>
      <w:r>
        <w:rPr>
          <w:color w:val="000000" w:themeColor="text1"/>
          <w:sz w:val="28"/>
          <w:szCs w:val="28"/>
        </w:rPr>
        <w:t>»</w:t>
      </w:r>
      <w:r w:rsidRPr="00055CEE">
        <w:rPr>
          <w:color w:val="000000" w:themeColor="text1"/>
          <w:sz w:val="28"/>
          <w:szCs w:val="28"/>
        </w:rPr>
        <w:t xml:space="preserve"> и региональные программы на </w:t>
      </w:r>
      <w:proofErr w:type="spellStart"/>
      <w:r w:rsidRPr="00055CEE">
        <w:rPr>
          <w:color w:val="000000" w:themeColor="text1"/>
          <w:sz w:val="28"/>
          <w:szCs w:val="28"/>
        </w:rPr>
        <w:t>цифровизацию</w:t>
      </w:r>
      <w:proofErr w:type="spellEnd"/>
      <w:r w:rsidRPr="00055CEE">
        <w:rPr>
          <w:color w:val="000000" w:themeColor="text1"/>
          <w:sz w:val="28"/>
          <w:szCs w:val="28"/>
        </w:rPr>
        <w:t xml:space="preserve"> и проекты </w:t>
      </w:r>
      <w:proofErr w:type="spellStart"/>
      <w:r w:rsidRPr="00055CEE">
        <w:rPr>
          <w:color w:val="000000" w:themeColor="text1"/>
          <w:sz w:val="28"/>
          <w:szCs w:val="28"/>
        </w:rPr>
        <w:t>импортозамещения</w:t>
      </w:r>
      <w:proofErr w:type="spellEnd"/>
      <w:r w:rsidRPr="00055CEE">
        <w:rPr>
          <w:color w:val="000000" w:themeColor="text1"/>
          <w:sz w:val="28"/>
          <w:szCs w:val="28"/>
        </w:rPr>
        <w:t xml:space="preserve"> (со ставкой 1-3%).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2. Субсидии из областного бюджета юридическими лицами, индивидуальными предпринимателями, физическими лицами – производителями товаров, работ, услуг для реализации региональных программ развития промышленности.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3. Налоговые меры поддержки: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3.1. Региональный инвестиционный проект (далее – РИП, областной закон Ленинградской области от 25.11.2019 № 89-оз).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Целью РИП является производство новых товаров, либо существенное увеличение действующего производства. 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Капитальные вложения в РИП должны быть осуществлены после включения в реестр участников РИП: от 50 до 500 </w:t>
      </w:r>
      <w:proofErr w:type="gramStart"/>
      <w:r w:rsidRPr="00055CEE">
        <w:rPr>
          <w:color w:val="000000" w:themeColor="text1"/>
          <w:sz w:val="28"/>
          <w:szCs w:val="28"/>
        </w:rPr>
        <w:t>млн</w:t>
      </w:r>
      <w:proofErr w:type="gramEnd"/>
      <w:r w:rsidRPr="00055CEE">
        <w:rPr>
          <w:color w:val="000000" w:themeColor="text1"/>
          <w:sz w:val="28"/>
          <w:szCs w:val="28"/>
        </w:rPr>
        <w:t xml:space="preserve"> рублей - не более 4 последовательных налоговых периодов, более 500 млн рублей - не более 6 последовательных налоговых периодов.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Меры поддержки: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ко всей базе, если доходы от реализации РИП не менее 90%,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к налоговой базе только в рамках РИП (раздельный уч</w:t>
      </w:r>
      <w:r w:rsidR="005F0282">
        <w:rPr>
          <w:color w:val="000000" w:themeColor="text1"/>
          <w:sz w:val="28"/>
          <w:szCs w:val="28"/>
        </w:rPr>
        <w:t>е</w:t>
      </w:r>
      <w:r w:rsidRPr="00055CEE">
        <w:rPr>
          <w:color w:val="000000" w:themeColor="text1"/>
          <w:sz w:val="28"/>
          <w:szCs w:val="28"/>
        </w:rPr>
        <w:t>т должен быть закрепл</w:t>
      </w:r>
      <w:r w:rsidR="005F0282">
        <w:rPr>
          <w:color w:val="000000" w:themeColor="text1"/>
          <w:sz w:val="28"/>
          <w:szCs w:val="28"/>
        </w:rPr>
        <w:t>е</w:t>
      </w:r>
      <w:r w:rsidRPr="00055CEE">
        <w:rPr>
          <w:color w:val="000000" w:themeColor="text1"/>
          <w:sz w:val="28"/>
          <w:szCs w:val="28"/>
        </w:rPr>
        <w:t>н в уч</w:t>
      </w:r>
      <w:r w:rsidR="005F0282">
        <w:rPr>
          <w:color w:val="000000" w:themeColor="text1"/>
          <w:sz w:val="28"/>
          <w:szCs w:val="28"/>
        </w:rPr>
        <w:t>е</w:t>
      </w:r>
      <w:r w:rsidRPr="00055CEE">
        <w:rPr>
          <w:color w:val="000000" w:themeColor="text1"/>
          <w:sz w:val="28"/>
          <w:szCs w:val="28"/>
        </w:rPr>
        <w:t>тной политике компании после включения в реестр участников РИП),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ставка налога на прибыль организаций (</w:t>
      </w:r>
      <w:proofErr w:type="spellStart"/>
      <w:r w:rsidRPr="00055CEE">
        <w:rPr>
          <w:color w:val="000000" w:themeColor="text1"/>
          <w:sz w:val="28"/>
          <w:szCs w:val="28"/>
        </w:rPr>
        <w:t>фед</w:t>
      </w:r>
      <w:proofErr w:type="spellEnd"/>
      <w:r w:rsidRPr="00055CEE">
        <w:rPr>
          <w:color w:val="000000" w:themeColor="text1"/>
          <w:sz w:val="28"/>
          <w:szCs w:val="28"/>
        </w:rPr>
        <w:t xml:space="preserve">. часть – 0%, рег. часть - 10%), 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- ставка налога на имущество организаций – 0%.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3.2. Инвестиционный налоговый вычет по налогу на прибыль организаций (далее – </w:t>
      </w:r>
      <w:proofErr w:type="gramStart"/>
      <w:r w:rsidRPr="00055CEE">
        <w:rPr>
          <w:color w:val="000000" w:themeColor="text1"/>
          <w:sz w:val="28"/>
          <w:szCs w:val="28"/>
        </w:rPr>
        <w:t>ИНВ</w:t>
      </w:r>
      <w:proofErr w:type="gramEnd"/>
      <w:r w:rsidRPr="00055CEE">
        <w:rPr>
          <w:color w:val="000000" w:themeColor="text1"/>
          <w:sz w:val="28"/>
          <w:szCs w:val="28"/>
        </w:rPr>
        <w:t>, областной закон Ленинградской области от 06.04.2020 № 36-оз).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Цель - модернизация производств на территории Ленинградской области посредством обновления ими основных фондов. Применительно к объектам основных средств подраздела </w:t>
      </w:r>
      <w:r>
        <w:rPr>
          <w:color w:val="000000" w:themeColor="text1"/>
          <w:sz w:val="28"/>
          <w:szCs w:val="28"/>
        </w:rPr>
        <w:t>«</w:t>
      </w:r>
      <w:r w:rsidRPr="00055CEE">
        <w:rPr>
          <w:color w:val="000000" w:themeColor="text1"/>
          <w:sz w:val="28"/>
          <w:szCs w:val="28"/>
        </w:rPr>
        <w:t>Машины и оборудование</w:t>
      </w:r>
      <w:r>
        <w:rPr>
          <w:color w:val="000000" w:themeColor="text1"/>
          <w:sz w:val="28"/>
          <w:szCs w:val="28"/>
        </w:rPr>
        <w:t>»</w:t>
      </w:r>
      <w:r w:rsidRPr="00055CEE">
        <w:rPr>
          <w:color w:val="000000" w:themeColor="text1"/>
          <w:sz w:val="28"/>
          <w:szCs w:val="28"/>
        </w:rPr>
        <w:t>.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>Меры поддержки: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- размер </w:t>
      </w:r>
      <w:proofErr w:type="gramStart"/>
      <w:r w:rsidRPr="00055CEE">
        <w:rPr>
          <w:color w:val="000000" w:themeColor="text1"/>
          <w:sz w:val="28"/>
          <w:szCs w:val="28"/>
        </w:rPr>
        <w:t>ИНВ</w:t>
      </w:r>
      <w:proofErr w:type="gramEnd"/>
      <w:r w:rsidRPr="00055CEE">
        <w:rPr>
          <w:color w:val="000000" w:themeColor="text1"/>
          <w:sz w:val="28"/>
          <w:szCs w:val="28"/>
        </w:rPr>
        <w:t xml:space="preserve"> составляет 90% суммы расходов;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t xml:space="preserve">- размер региональной налоговой ставки по налогу на прибыль организаций для определения предельной величины </w:t>
      </w:r>
      <w:proofErr w:type="gramStart"/>
      <w:r w:rsidRPr="00055CEE">
        <w:rPr>
          <w:color w:val="000000" w:themeColor="text1"/>
          <w:sz w:val="28"/>
          <w:szCs w:val="28"/>
        </w:rPr>
        <w:t>ИНВ</w:t>
      </w:r>
      <w:proofErr w:type="gramEnd"/>
      <w:r w:rsidRPr="00055CEE">
        <w:rPr>
          <w:color w:val="000000" w:themeColor="text1"/>
          <w:sz w:val="28"/>
          <w:szCs w:val="28"/>
        </w:rPr>
        <w:t xml:space="preserve"> составляет 10%. </w:t>
      </w:r>
    </w:p>
    <w:p w:rsidR="00937902" w:rsidRPr="00055CEE" w:rsidRDefault="00937902" w:rsidP="0093790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55CEE">
        <w:rPr>
          <w:color w:val="000000" w:themeColor="text1"/>
          <w:sz w:val="28"/>
          <w:szCs w:val="28"/>
        </w:rPr>
        <w:lastRenderedPageBreak/>
        <w:t xml:space="preserve">Сумма расходов, превышающая в налоговом периоде предельную величину </w:t>
      </w:r>
      <w:proofErr w:type="gramStart"/>
      <w:r w:rsidRPr="00055CEE">
        <w:rPr>
          <w:color w:val="000000" w:themeColor="text1"/>
          <w:sz w:val="28"/>
          <w:szCs w:val="28"/>
        </w:rPr>
        <w:t>ИНВ</w:t>
      </w:r>
      <w:proofErr w:type="gramEnd"/>
      <w:r w:rsidRPr="00055CEE">
        <w:rPr>
          <w:color w:val="000000" w:themeColor="text1"/>
          <w:sz w:val="28"/>
          <w:szCs w:val="28"/>
        </w:rPr>
        <w:t>, может быть учтена в пределах 4-х последовательных налоговых периодов.</w:t>
      </w:r>
    </w:p>
    <w:p w:rsidR="005F0282" w:rsidRPr="00C12137" w:rsidRDefault="00E11602" w:rsidP="005F0282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E11602">
        <w:rPr>
          <w:sz w:val="28"/>
          <w:szCs w:val="28"/>
        </w:rPr>
        <w:t>В 202</w:t>
      </w:r>
      <w:r w:rsidR="005F0282">
        <w:rPr>
          <w:sz w:val="28"/>
          <w:szCs w:val="28"/>
        </w:rPr>
        <w:t>5</w:t>
      </w:r>
      <w:r w:rsidRPr="00E11602">
        <w:rPr>
          <w:sz w:val="28"/>
          <w:szCs w:val="28"/>
        </w:rPr>
        <w:t xml:space="preserve"> году</w:t>
      </w:r>
      <w:r w:rsidRPr="00936E2A">
        <w:rPr>
          <w:sz w:val="28"/>
          <w:szCs w:val="28"/>
        </w:rPr>
        <w:t xml:space="preserve"> по оценке </w:t>
      </w:r>
      <w:r w:rsidRPr="00E11602">
        <w:rPr>
          <w:b/>
          <w:sz w:val="28"/>
          <w:szCs w:val="28"/>
        </w:rPr>
        <w:t>объем производства продукции сельского хозяйства</w:t>
      </w:r>
      <w:r w:rsidRPr="00936E2A">
        <w:rPr>
          <w:sz w:val="28"/>
          <w:szCs w:val="28"/>
        </w:rPr>
        <w:t xml:space="preserve"> составит </w:t>
      </w:r>
      <w:r w:rsidR="005F0282" w:rsidRPr="005F0282">
        <w:rPr>
          <w:sz w:val="28"/>
          <w:szCs w:val="28"/>
        </w:rPr>
        <w:t xml:space="preserve">167,6 </w:t>
      </w:r>
      <w:proofErr w:type="gramStart"/>
      <w:r w:rsidR="005F0282" w:rsidRPr="005F0282">
        <w:rPr>
          <w:sz w:val="28"/>
          <w:szCs w:val="28"/>
        </w:rPr>
        <w:t>млрд</w:t>
      </w:r>
      <w:proofErr w:type="gramEnd"/>
      <w:r w:rsidR="005F0282" w:rsidRPr="005F0282">
        <w:rPr>
          <w:sz w:val="28"/>
          <w:szCs w:val="28"/>
        </w:rPr>
        <w:t xml:space="preserve"> руб., индекс производства – 100,1% к 2024 году.</w:t>
      </w:r>
      <w:r w:rsidR="005F0282">
        <w:rPr>
          <w:sz w:val="28"/>
          <w:szCs w:val="28"/>
        </w:rPr>
        <w:t xml:space="preserve"> </w:t>
      </w:r>
      <w:r w:rsidR="005F0282" w:rsidRPr="00C12137">
        <w:rPr>
          <w:color w:val="000000" w:themeColor="text1"/>
          <w:sz w:val="28"/>
          <w:szCs w:val="28"/>
        </w:rPr>
        <w:t xml:space="preserve">Прогнозируемый объем продукции растениеводства составит порядка 45,2 </w:t>
      </w:r>
      <w:proofErr w:type="gramStart"/>
      <w:r w:rsidR="005F0282" w:rsidRPr="00C12137">
        <w:rPr>
          <w:color w:val="000000" w:themeColor="text1"/>
          <w:sz w:val="28"/>
          <w:szCs w:val="28"/>
        </w:rPr>
        <w:t>млрд</w:t>
      </w:r>
      <w:proofErr w:type="gramEnd"/>
      <w:r w:rsidR="005F0282" w:rsidRPr="00C12137">
        <w:rPr>
          <w:color w:val="000000" w:themeColor="text1"/>
          <w:sz w:val="28"/>
          <w:szCs w:val="28"/>
        </w:rPr>
        <w:t xml:space="preserve"> руб. В животноводстве ожидается рост по сравнению с 2024 годом на 0,4%. Объем производства продукции животноводства в 2025 году составит 122,4 млрд руб.</w:t>
      </w:r>
    </w:p>
    <w:p w:rsidR="00E914A5" w:rsidRDefault="005F0282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CF106D">
        <w:rPr>
          <w:color w:val="000000" w:themeColor="text1"/>
          <w:sz w:val="28"/>
          <w:szCs w:val="28"/>
        </w:rPr>
        <w:t xml:space="preserve">Значительное увеличение объемов вылова (добычи) </w:t>
      </w:r>
      <w:r w:rsidRPr="005F0282">
        <w:rPr>
          <w:b/>
          <w:color w:val="000000" w:themeColor="text1"/>
          <w:sz w:val="28"/>
          <w:szCs w:val="28"/>
        </w:rPr>
        <w:t>водных биоресурсов</w:t>
      </w:r>
      <w:r w:rsidRPr="00CF106D">
        <w:rPr>
          <w:color w:val="000000" w:themeColor="text1"/>
          <w:sz w:val="28"/>
          <w:szCs w:val="28"/>
        </w:rPr>
        <w:t xml:space="preserve"> в регионе ограничено научно рекомендованным порогом вылова в 28 тыс. тонн в год, из которых в силу климатических и погодных условий ежегодно осваивается 23-25 тыс. тонн. Развитие </w:t>
      </w:r>
      <w:proofErr w:type="spellStart"/>
      <w:r w:rsidRPr="00CF106D">
        <w:rPr>
          <w:color w:val="000000" w:themeColor="text1"/>
          <w:sz w:val="28"/>
          <w:szCs w:val="28"/>
        </w:rPr>
        <w:t>рыбохозяйственного</w:t>
      </w:r>
      <w:proofErr w:type="spellEnd"/>
      <w:r w:rsidRPr="00CF106D">
        <w:rPr>
          <w:color w:val="000000" w:themeColor="text1"/>
          <w:sz w:val="28"/>
          <w:szCs w:val="28"/>
        </w:rPr>
        <w:t xml:space="preserve"> комплекса, увеличение выпуска товарной пищевой рыбной продукции будет осуществляться в основном за счет товарной </w:t>
      </w:r>
      <w:proofErr w:type="spellStart"/>
      <w:r w:rsidRPr="00CF106D">
        <w:rPr>
          <w:color w:val="000000" w:themeColor="text1"/>
          <w:sz w:val="28"/>
          <w:szCs w:val="28"/>
        </w:rPr>
        <w:t>аквакультуры</w:t>
      </w:r>
      <w:proofErr w:type="spellEnd"/>
      <w:r w:rsidRPr="00CF106D">
        <w:rPr>
          <w:color w:val="000000" w:themeColor="text1"/>
          <w:sz w:val="28"/>
          <w:szCs w:val="28"/>
        </w:rPr>
        <w:t xml:space="preserve"> (товарного рыбоводства) и береговой </w:t>
      </w:r>
      <w:proofErr w:type="spellStart"/>
      <w:r w:rsidRPr="00CF106D">
        <w:rPr>
          <w:color w:val="000000" w:themeColor="text1"/>
          <w:sz w:val="28"/>
          <w:szCs w:val="28"/>
        </w:rPr>
        <w:t>рыбопереработки</w:t>
      </w:r>
      <w:proofErr w:type="spellEnd"/>
      <w:r w:rsidRPr="00CF106D">
        <w:rPr>
          <w:color w:val="000000" w:themeColor="text1"/>
          <w:sz w:val="28"/>
          <w:szCs w:val="28"/>
        </w:rPr>
        <w:t xml:space="preserve">. Увеличения объемов производства продукции </w:t>
      </w:r>
      <w:proofErr w:type="spellStart"/>
      <w:r w:rsidRPr="00CF106D">
        <w:rPr>
          <w:color w:val="000000" w:themeColor="text1"/>
          <w:sz w:val="28"/>
          <w:szCs w:val="28"/>
        </w:rPr>
        <w:t>аквакультуры</w:t>
      </w:r>
      <w:proofErr w:type="spellEnd"/>
      <w:r w:rsidRPr="00CF106D">
        <w:rPr>
          <w:color w:val="000000" w:themeColor="text1"/>
          <w:sz w:val="28"/>
          <w:szCs w:val="28"/>
        </w:rPr>
        <w:t xml:space="preserve"> будет осуществляться за счет развития мощностей действующих рыбоводных хозяйств, освоения новых акваторий для выращивания рыбы: Финский залив, Ладожское озеро, реки </w:t>
      </w:r>
      <w:proofErr w:type="spellStart"/>
      <w:r w:rsidRPr="00CF106D">
        <w:rPr>
          <w:color w:val="000000" w:themeColor="text1"/>
          <w:sz w:val="28"/>
          <w:szCs w:val="28"/>
        </w:rPr>
        <w:t>Вуокса</w:t>
      </w:r>
      <w:proofErr w:type="spellEnd"/>
      <w:r w:rsidRPr="00CF106D">
        <w:rPr>
          <w:color w:val="000000" w:themeColor="text1"/>
          <w:sz w:val="28"/>
          <w:szCs w:val="28"/>
        </w:rPr>
        <w:t xml:space="preserve"> и Свирь, а также создания установок замкнутого водоснабжения.</w:t>
      </w:r>
    </w:p>
    <w:p w:rsidR="00E914A5" w:rsidRDefault="00E17AC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C0148E">
        <w:rPr>
          <w:sz w:val="28"/>
          <w:szCs w:val="28"/>
          <w:shd w:val="clear" w:color="auto" w:fill="FFFFFF" w:themeFill="background1"/>
        </w:rPr>
        <w:t>Объем работ,</w:t>
      </w:r>
      <w:r w:rsidRPr="00C0148E">
        <w:rPr>
          <w:b/>
          <w:i/>
          <w:sz w:val="28"/>
          <w:szCs w:val="28"/>
          <w:shd w:val="clear" w:color="auto" w:fill="FFFFFF" w:themeFill="background1"/>
        </w:rPr>
        <w:t xml:space="preserve"> </w:t>
      </w:r>
      <w:r w:rsidRPr="001D511D">
        <w:rPr>
          <w:sz w:val="28"/>
          <w:szCs w:val="28"/>
          <w:shd w:val="clear" w:color="auto" w:fill="FFFFFF" w:themeFill="background1"/>
        </w:rPr>
        <w:t>выполненных по виду деятельности</w:t>
      </w:r>
      <w:r w:rsidRPr="00C0148E">
        <w:rPr>
          <w:b/>
          <w:sz w:val="28"/>
          <w:szCs w:val="28"/>
          <w:shd w:val="clear" w:color="auto" w:fill="FFFFFF" w:themeFill="background1"/>
        </w:rPr>
        <w:t xml:space="preserve"> «строительство»</w:t>
      </w:r>
      <w:r w:rsidR="004006A4" w:rsidRPr="00C0148E">
        <w:rPr>
          <w:sz w:val="28"/>
          <w:szCs w:val="28"/>
          <w:shd w:val="clear" w:color="auto" w:fill="FFFFFF" w:themeFill="background1"/>
        </w:rPr>
        <w:t>,</w:t>
      </w:r>
      <w:r w:rsidRPr="00C0148E">
        <w:rPr>
          <w:sz w:val="28"/>
          <w:szCs w:val="28"/>
          <w:shd w:val="clear" w:color="auto" w:fill="FFFFFF" w:themeFill="background1"/>
        </w:rPr>
        <w:t xml:space="preserve"> </w:t>
      </w:r>
      <w:r w:rsidRPr="00C0148E">
        <w:rPr>
          <w:sz w:val="28"/>
          <w:szCs w:val="28"/>
          <w:shd w:val="clear" w:color="auto" w:fill="FFFFFF" w:themeFill="background1"/>
        </w:rPr>
        <w:br/>
        <w:t>по оценке 202</w:t>
      </w:r>
      <w:r w:rsidR="00E914A5">
        <w:rPr>
          <w:sz w:val="28"/>
          <w:szCs w:val="28"/>
          <w:shd w:val="clear" w:color="auto" w:fill="FFFFFF" w:themeFill="background1"/>
        </w:rPr>
        <w:t>5</w:t>
      </w:r>
      <w:r w:rsidRPr="00C0148E">
        <w:rPr>
          <w:sz w:val="28"/>
          <w:szCs w:val="28"/>
          <w:shd w:val="clear" w:color="auto" w:fill="FFFFFF" w:themeFill="background1"/>
        </w:rPr>
        <w:t xml:space="preserve"> года составит около </w:t>
      </w:r>
      <w:r w:rsidR="00E914A5" w:rsidRPr="00E914A5">
        <w:rPr>
          <w:sz w:val="28"/>
          <w:szCs w:val="28"/>
          <w:shd w:val="clear" w:color="auto" w:fill="FFFFFF" w:themeFill="background1"/>
        </w:rPr>
        <w:t xml:space="preserve">501,4 </w:t>
      </w:r>
      <w:proofErr w:type="gramStart"/>
      <w:r w:rsidR="00E914A5" w:rsidRPr="00E914A5">
        <w:rPr>
          <w:sz w:val="28"/>
          <w:szCs w:val="28"/>
          <w:shd w:val="clear" w:color="auto" w:fill="FFFFFF" w:themeFill="background1"/>
        </w:rPr>
        <w:t>млрд</w:t>
      </w:r>
      <w:proofErr w:type="gramEnd"/>
      <w:r w:rsidR="00E914A5" w:rsidRPr="00E914A5">
        <w:rPr>
          <w:sz w:val="28"/>
          <w:szCs w:val="28"/>
          <w:shd w:val="clear" w:color="auto" w:fill="FFFFFF" w:themeFill="background1"/>
        </w:rPr>
        <w:t xml:space="preserve"> руб. или 115,0% к 2024 году в сопоставимых ценах.</w:t>
      </w:r>
      <w:r w:rsidR="00E914A5">
        <w:rPr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E914A5" w:rsidRPr="00E914A5">
        <w:rPr>
          <w:color w:val="000000" w:themeColor="text1"/>
          <w:sz w:val="28"/>
          <w:szCs w:val="28"/>
        </w:rPr>
        <w:t>В 2025 году плановый показатель объема ввода жилья на территории Ленинградской области составляет 3</w:t>
      </w:r>
      <w:r w:rsidR="00E914A5">
        <w:rPr>
          <w:color w:val="000000" w:themeColor="text1"/>
          <w:sz w:val="28"/>
          <w:szCs w:val="28"/>
        </w:rPr>
        <w:t> </w:t>
      </w:r>
      <w:r w:rsidR="00E914A5" w:rsidRPr="00E914A5">
        <w:rPr>
          <w:color w:val="000000" w:themeColor="text1"/>
          <w:sz w:val="28"/>
          <w:szCs w:val="28"/>
        </w:rPr>
        <w:t xml:space="preserve">499 тыс. кв. м. По состоянию на </w:t>
      </w:r>
      <w:r w:rsidR="00E914A5" w:rsidRPr="00C0148E">
        <w:rPr>
          <w:sz w:val="28"/>
          <w:szCs w:val="28"/>
          <w:shd w:val="clear" w:color="auto" w:fill="FFFFFF" w:themeFill="background1"/>
        </w:rPr>
        <w:br/>
      </w:r>
      <w:r w:rsidR="00E914A5" w:rsidRPr="00E914A5">
        <w:rPr>
          <w:color w:val="000000" w:themeColor="text1"/>
          <w:sz w:val="28"/>
          <w:szCs w:val="28"/>
        </w:rPr>
        <w:t>1 июня 2025 года на территории Ленинградской области введено в эксплуатацию 1</w:t>
      </w:r>
      <w:r w:rsidR="00B37852">
        <w:rPr>
          <w:color w:val="000000" w:themeColor="text1"/>
          <w:sz w:val="28"/>
          <w:szCs w:val="28"/>
        </w:rPr>
        <w:t> </w:t>
      </w:r>
      <w:r w:rsidR="00E914A5" w:rsidRPr="00E914A5">
        <w:rPr>
          <w:color w:val="000000" w:themeColor="text1"/>
          <w:sz w:val="28"/>
          <w:szCs w:val="28"/>
        </w:rPr>
        <w:t>941,4 тыс. кв. м жилой площади (в том числе ИЖС – 1</w:t>
      </w:r>
      <w:r w:rsidR="00B37852">
        <w:rPr>
          <w:color w:val="000000" w:themeColor="text1"/>
          <w:sz w:val="28"/>
          <w:szCs w:val="28"/>
        </w:rPr>
        <w:t> </w:t>
      </w:r>
      <w:r w:rsidR="00E914A5" w:rsidRPr="00E914A5">
        <w:rPr>
          <w:color w:val="000000" w:themeColor="text1"/>
          <w:sz w:val="28"/>
          <w:szCs w:val="28"/>
        </w:rPr>
        <w:t>787,9 тыс. кв. м), выполнение плана составляет 55,5%.</w:t>
      </w:r>
      <w:proofErr w:type="gramEnd"/>
    </w:p>
    <w:p w:rsidR="00E914A5" w:rsidRDefault="000E2963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36E2A">
        <w:rPr>
          <w:sz w:val="28"/>
          <w:szCs w:val="28"/>
        </w:rPr>
        <w:t>Средняя обеспеченность одного жителя Ленинградской области общей площадью жилья за 202</w:t>
      </w:r>
      <w:r w:rsidR="00E914A5">
        <w:rPr>
          <w:sz w:val="28"/>
          <w:szCs w:val="28"/>
        </w:rPr>
        <w:t>5</w:t>
      </w:r>
      <w:r w:rsidRPr="00936E2A">
        <w:rPr>
          <w:sz w:val="28"/>
          <w:szCs w:val="28"/>
        </w:rPr>
        <w:t xml:space="preserve"> год </w:t>
      </w:r>
      <w:r w:rsidR="00E914A5">
        <w:rPr>
          <w:sz w:val="28"/>
          <w:szCs w:val="28"/>
        </w:rPr>
        <w:t xml:space="preserve">по плану </w:t>
      </w:r>
      <w:r w:rsidRPr="00936E2A">
        <w:rPr>
          <w:sz w:val="28"/>
          <w:szCs w:val="28"/>
        </w:rPr>
        <w:t>состави</w:t>
      </w:r>
      <w:r w:rsidR="00E914A5">
        <w:rPr>
          <w:sz w:val="28"/>
          <w:szCs w:val="28"/>
        </w:rPr>
        <w:t>т</w:t>
      </w:r>
      <w:r w:rsidRPr="00936E2A">
        <w:rPr>
          <w:sz w:val="28"/>
          <w:szCs w:val="28"/>
        </w:rPr>
        <w:t xml:space="preserve"> 32,4 кв.</w:t>
      </w:r>
      <w:r w:rsidR="00E914A5">
        <w:rPr>
          <w:sz w:val="28"/>
          <w:szCs w:val="28"/>
        </w:rPr>
        <w:t xml:space="preserve"> </w:t>
      </w:r>
      <w:r w:rsidRPr="00936E2A">
        <w:rPr>
          <w:sz w:val="28"/>
          <w:szCs w:val="28"/>
        </w:rPr>
        <w:t xml:space="preserve">м. </w:t>
      </w:r>
    </w:p>
    <w:p w:rsidR="00E914A5" w:rsidRDefault="001B70AD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936E2A">
        <w:rPr>
          <w:sz w:val="28"/>
          <w:szCs w:val="28"/>
        </w:rPr>
        <w:t xml:space="preserve">Согласно оценке </w:t>
      </w:r>
      <w:r w:rsidRPr="001B70AD">
        <w:rPr>
          <w:sz w:val="28"/>
          <w:szCs w:val="28"/>
        </w:rPr>
        <w:t>202</w:t>
      </w:r>
      <w:r w:rsidR="00E914A5">
        <w:rPr>
          <w:sz w:val="28"/>
          <w:szCs w:val="28"/>
        </w:rPr>
        <w:t>5</w:t>
      </w:r>
      <w:r w:rsidRPr="001B70AD">
        <w:rPr>
          <w:sz w:val="28"/>
          <w:szCs w:val="28"/>
        </w:rPr>
        <w:t xml:space="preserve"> года</w:t>
      </w:r>
      <w:r w:rsidRPr="00936E2A">
        <w:rPr>
          <w:sz w:val="28"/>
          <w:szCs w:val="28"/>
        </w:rPr>
        <w:t xml:space="preserve"> </w:t>
      </w:r>
      <w:r w:rsidRPr="001B70AD">
        <w:rPr>
          <w:b/>
          <w:sz w:val="28"/>
          <w:szCs w:val="28"/>
        </w:rPr>
        <w:t>объем инвестиций</w:t>
      </w:r>
      <w:r w:rsidRPr="00936E2A">
        <w:rPr>
          <w:sz w:val="28"/>
          <w:szCs w:val="28"/>
        </w:rPr>
        <w:t xml:space="preserve"> в основной капитал в Ленинградской области составит </w:t>
      </w:r>
      <w:r w:rsidR="00E914A5" w:rsidRPr="00922D93">
        <w:rPr>
          <w:color w:val="000000" w:themeColor="text1"/>
          <w:sz w:val="28"/>
          <w:szCs w:val="28"/>
        </w:rPr>
        <w:t xml:space="preserve">1 266,6 </w:t>
      </w:r>
      <w:proofErr w:type="gramStart"/>
      <w:r w:rsidR="00E914A5" w:rsidRPr="00922D93">
        <w:rPr>
          <w:color w:val="000000" w:themeColor="text1"/>
          <w:sz w:val="28"/>
          <w:szCs w:val="28"/>
        </w:rPr>
        <w:t>млрд</w:t>
      </w:r>
      <w:proofErr w:type="gramEnd"/>
      <w:r w:rsidR="00E914A5" w:rsidRPr="00922D93">
        <w:rPr>
          <w:color w:val="000000" w:themeColor="text1"/>
          <w:sz w:val="28"/>
          <w:szCs w:val="28"/>
        </w:rPr>
        <w:t xml:space="preserve"> руб., что на 5,8% выше уровня 2024 года в сопоставимых ценах. 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>Распределение объема инвестиций в основной капитал в 2025 году по видам экономической деятельности оценивается следующим образом: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 xml:space="preserve">- обрабатывающая промышленность – 901,8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(или 71,2% от общего объема инвестиций в основной капитал);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 xml:space="preserve">- транспортировка и хранение – 258,4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(20,4%);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 xml:space="preserve">- обеспечение электроэнергией, газом и паром – 77,2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(6,1%);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 xml:space="preserve">- операции с недвижимым имуществом, аренда и предоставление услуг – 59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(4,7%);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</w:rPr>
        <w:t xml:space="preserve">- строительство – 10,0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(0,8%);</w:t>
      </w:r>
    </w:p>
    <w:p w:rsidR="00E914A5" w:rsidRDefault="00E914A5" w:rsidP="00E914A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8" w:color="FFFFFF"/>
        </w:pBd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  <w:sz w:val="28"/>
        </w:rPr>
      </w:pPr>
      <w:r w:rsidRPr="00922D93">
        <w:rPr>
          <w:color w:val="000000" w:themeColor="text1"/>
          <w:sz w:val="28"/>
          <w:szCs w:val="28"/>
        </w:rPr>
        <w:t>- сельское хозяйство, охота и лесное хозяйство – 19</w:t>
      </w:r>
      <w:r w:rsidRPr="00922D93">
        <w:rPr>
          <w:color w:val="000000" w:themeColor="text1"/>
          <w:sz w:val="28"/>
        </w:rPr>
        <w:t xml:space="preserve"> </w:t>
      </w:r>
      <w:proofErr w:type="gramStart"/>
      <w:r w:rsidRPr="00922D93">
        <w:rPr>
          <w:color w:val="000000" w:themeColor="text1"/>
          <w:sz w:val="28"/>
        </w:rPr>
        <w:t>млрд</w:t>
      </w:r>
      <w:proofErr w:type="gramEnd"/>
      <w:r w:rsidRPr="00922D93">
        <w:rPr>
          <w:color w:val="000000" w:themeColor="text1"/>
          <w:sz w:val="28"/>
        </w:rPr>
        <w:t xml:space="preserve"> руб. (1,5%).</w:t>
      </w:r>
      <w:r>
        <w:rPr>
          <w:color w:val="000000" w:themeColor="text1"/>
          <w:sz w:val="28"/>
        </w:rPr>
        <w:br w:type="page"/>
      </w:r>
    </w:p>
    <w:p w:rsidR="00E914A5" w:rsidRPr="002167B2" w:rsidRDefault="00E914A5" w:rsidP="00E914A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22D93">
        <w:rPr>
          <w:color w:val="000000" w:themeColor="text1"/>
          <w:sz w:val="28"/>
        </w:rPr>
        <w:lastRenderedPageBreak/>
        <w:t xml:space="preserve">Оценка объема инвестиций в основной капитал в 2025 году и прогнозируемый рост инвестиций в 2026-2028 годах обусловлены продолжением реализации в Ленинградской области крупных инвестиционных проектов в сфере </w:t>
      </w:r>
      <w:proofErr w:type="spellStart"/>
      <w:r w:rsidRPr="00922D93">
        <w:rPr>
          <w:color w:val="000000" w:themeColor="text1"/>
          <w:sz w:val="28"/>
        </w:rPr>
        <w:t>газохимии</w:t>
      </w:r>
      <w:proofErr w:type="spellEnd"/>
      <w:r w:rsidRPr="00922D93">
        <w:rPr>
          <w:color w:val="000000" w:themeColor="text1"/>
          <w:sz w:val="28"/>
        </w:rPr>
        <w:t xml:space="preserve"> - строительство </w:t>
      </w:r>
      <w:r w:rsidRPr="00922D93">
        <w:rPr>
          <w:color w:val="000000" w:themeColor="text1"/>
          <w:sz w:val="28"/>
          <w:szCs w:val="28"/>
        </w:rPr>
        <w:t xml:space="preserve">ООО </w:t>
      </w:r>
      <w:r>
        <w:rPr>
          <w:color w:val="000000" w:themeColor="text1"/>
          <w:sz w:val="28"/>
          <w:szCs w:val="28"/>
        </w:rPr>
        <w:t>«</w:t>
      </w:r>
      <w:proofErr w:type="spellStart"/>
      <w:r w:rsidRPr="00922D93">
        <w:rPr>
          <w:color w:val="000000" w:themeColor="text1"/>
          <w:sz w:val="28"/>
          <w:szCs w:val="28"/>
        </w:rPr>
        <w:t>РусХимАльянс</w:t>
      </w:r>
      <w:proofErr w:type="spellEnd"/>
      <w:r>
        <w:rPr>
          <w:color w:val="000000" w:themeColor="text1"/>
          <w:sz w:val="28"/>
          <w:szCs w:val="28"/>
        </w:rPr>
        <w:t>»</w:t>
      </w:r>
      <w:r w:rsidRPr="00922D93">
        <w:rPr>
          <w:color w:val="000000" w:themeColor="text1"/>
          <w:sz w:val="28"/>
          <w:szCs w:val="28"/>
        </w:rPr>
        <w:t xml:space="preserve"> и ООО </w:t>
      </w:r>
      <w:r>
        <w:rPr>
          <w:color w:val="000000" w:themeColor="text1"/>
          <w:sz w:val="28"/>
          <w:szCs w:val="28"/>
        </w:rPr>
        <w:t>«</w:t>
      </w:r>
      <w:r w:rsidRPr="00922D93">
        <w:rPr>
          <w:color w:val="000000" w:themeColor="text1"/>
          <w:sz w:val="28"/>
          <w:szCs w:val="28"/>
        </w:rPr>
        <w:t>Балтийский Химический Комплекс</w:t>
      </w:r>
      <w:r>
        <w:rPr>
          <w:color w:val="000000" w:themeColor="text1"/>
          <w:sz w:val="28"/>
          <w:szCs w:val="28"/>
        </w:rPr>
        <w:t>»</w:t>
      </w:r>
      <w:r w:rsidRPr="00922D93">
        <w:rPr>
          <w:color w:val="000000" w:themeColor="text1"/>
          <w:sz w:val="28"/>
          <w:szCs w:val="28"/>
        </w:rPr>
        <w:t xml:space="preserve"> комплекса по переработке </w:t>
      </w:r>
      <w:proofErr w:type="spellStart"/>
      <w:r w:rsidRPr="00922D93">
        <w:rPr>
          <w:color w:val="000000" w:themeColor="text1"/>
          <w:sz w:val="28"/>
          <w:szCs w:val="28"/>
        </w:rPr>
        <w:t>этансодержащего</w:t>
      </w:r>
      <w:proofErr w:type="spellEnd"/>
      <w:r w:rsidRPr="00922D93">
        <w:rPr>
          <w:color w:val="000000" w:themeColor="text1"/>
          <w:sz w:val="28"/>
          <w:szCs w:val="28"/>
        </w:rPr>
        <w:t xml:space="preserve"> газа сумм</w:t>
      </w:r>
      <w:r w:rsidR="005831C5">
        <w:rPr>
          <w:color w:val="000000" w:themeColor="text1"/>
          <w:sz w:val="28"/>
          <w:szCs w:val="28"/>
        </w:rPr>
        <w:t>арной стоимостью около 4,7 </w:t>
      </w:r>
      <w:proofErr w:type="gramStart"/>
      <w:r w:rsidR="005831C5">
        <w:rPr>
          <w:color w:val="000000" w:themeColor="text1"/>
          <w:sz w:val="28"/>
          <w:szCs w:val="28"/>
        </w:rPr>
        <w:t>трлн</w:t>
      </w:r>
      <w:proofErr w:type="gramEnd"/>
      <w:r w:rsidR="005831C5">
        <w:rPr>
          <w:color w:val="000000" w:themeColor="text1"/>
          <w:sz w:val="28"/>
          <w:szCs w:val="28"/>
        </w:rPr>
        <w:t> </w:t>
      </w:r>
      <w:r w:rsidRPr="00922D93">
        <w:rPr>
          <w:color w:val="000000" w:themeColor="text1"/>
          <w:sz w:val="28"/>
          <w:szCs w:val="28"/>
        </w:rPr>
        <w:t>руб.,</w:t>
      </w:r>
      <w:r w:rsidR="00DD56AB">
        <w:rPr>
          <w:color w:val="000000" w:themeColor="text1"/>
          <w:sz w:val="28"/>
          <w:szCs w:val="28"/>
        </w:rPr>
        <w:t xml:space="preserve"> </w:t>
      </w:r>
      <w:r w:rsidRPr="00922D93">
        <w:rPr>
          <w:color w:val="000000" w:themeColor="text1"/>
          <w:sz w:val="28"/>
          <w:szCs w:val="28"/>
        </w:rPr>
        <w:t>продолжением реализации крупных портовых проектов ООО </w:t>
      </w:r>
      <w:r w:rsidR="001D511D">
        <w:rPr>
          <w:color w:val="000000" w:themeColor="text1"/>
          <w:sz w:val="28"/>
          <w:szCs w:val="28"/>
        </w:rPr>
        <w:t>«</w:t>
      </w:r>
      <w:proofErr w:type="spellStart"/>
      <w:r w:rsidRPr="00922D93">
        <w:rPr>
          <w:color w:val="000000" w:themeColor="text1"/>
          <w:sz w:val="28"/>
          <w:szCs w:val="28"/>
        </w:rPr>
        <w:t>Ультрамар</w:t>
      </w:r>
      <w:proofErr w:type="spellEnd"/>
      <w:r>
        <w:rPr>
          <w:color w:val="000000" w:themeColor="text1"/>
          <w:sz w:val="28"/>
          <w:szCs w:val="28"/>
        </w:rPr>
        <w:t>»</w:t>
      </w:r>
      <w:r w:rsidRPr="00922D93">
        <w:rPr>
          <w:color w:val="000000" w:themeColor="text1"/>
          <w:sz w:val="28"/>
          <w:szCs w:val="28"/>
        </w:rPr>
        <w:t xml:space="preserve"> (строительство специализированного терминала по перевалке минеральных удобрений, более 77 </w:t>
      </w:r>
      <w:proofErr w:type="gramStart"/>
      <w:r w:rsidRPr="00922D93">
        <w:rPr>
          <w:color w:val="000000" w:themeColor="text1"/>
          <w:sz w:val="28"/>
          <w:szCs w:val="28"/>
        </w:rPr>
        <w:t>млрд</w:t>
      </w:r>
      <w:proofErr w:type="gramEnd"/>
      <w:r w:rsidRPr="00922D93">
        <w:rPr>
          <w:color w:val="000000" w:themeColor="text1"/>
          <w:sz w:val="28"/>
          <w:szCs w:val="28"/>
        </w:rPr>
        <w:t xml:space="preserve"> руб.), </w:t>
      </w:r>
      <w:r w:rsidR="001D511D" w:rsidRPr="001D511D">
        <w:rPr>
          <w:color w:val="000000" w:themeColor="text1"/>
          <w:sz w:val="28"/>
          <w:szCs w:val="28"/>
        </w:rPr>
        <w:t>ООО</w:t>
      </w:r>
      <w:r w:rsidRPr="001D511D">
        <w:rPr>
          <w:color w:val="000000" w:themeColor="text1"/>
          <w:sz w:val="28"/>
          <w:szCs w:val="28"/>
        </w:rPr>
        <w:t xml:space="preserve"> «</w:t>
      </w:r>
      <w:proofErr w:type="spellStart"/>
      <w:r w:rsidRPr="001D511D">
        <w:rPr>
          <w:color w:val="000000" w:themeColor="text1"/>
          <w:sz w:val="28"/>
          <w:szCs w:val="28"/>
        </w:rPr>
        <w:t>Новотранс</w:t>
      </w:r>
      <w:proofErr w:type="spellEnd"/>
      <w:r w:rsidR="001D511D" w:rsidRPr="001D511D">
        <w:rPr>
          <w:color w:val="000000" w:themeColor="text1"/>
          <w:sz w:val="28"/>
          <w:szCs w:val="28"/>
        </w:rPr>
        <w:t xml:space="preserve"> Актив</w:t>
      </w:r>
      <w:r w:rsidRPr="001D511D">
        <w:rPr>
          <w:color w:val="000000" w:themeColor="text1"/>
          <w:sz w:val="28"/>
          <w:szCs w:val="28"/>
        </w:rPr>
        <w:t xml:space="preserve">» (строительство универсального торгового терминала </w:t>
      </w:r>
      <w:r w:rsidR="001D511D" w:rsidRPr="001D511D">
        <w:rPr>
          <w:color w:val="000000" w:themeColor="text1"/>
          <w:sz w:val="28"/>
          <w:szCs w:val="28"/>
        </w:rPr>
        <w:t xml:space="preserve">в МТП </w:t>
      </w:r>
      <w:r w:rsidRPr="001D511D">
        <w:rPr>
          <w:color w:val="000000" w:themeColor="text1"/>
          <w:sz w:val="28"/>
          <w:szCs w:val="28"/>
        </w:rPr>
        <w:t>«Усть-Луга», более 75 млрд руб.),</w:t>
      </w:r>
      <w:r w:rsidRPr="00922D93">
        <w:rPr>
          <w:color w:val="000000" w:themeColor="text1"/>
          <w:sz w:val="28"/>
          <w:szCs w:val="28"/>
        </w:rPr>
        <w:t xml:space="preserve"> </w:t>
      </w:r>
      <w:r w:rsidRPr="00922D93">
        <w:rPr>
          <w:bCs/>
          <w:color w:val="000000" w:themeColor="text1"/>
          <w:sz w:val="28"/>
          <w:szCs w:val="28"/>
        </w:rPr>
        <w:t>ООО</w:t>
      </w:r>
      <w:r w:rsidR="005831C5"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«</w:t>
      </w:r>
      <w:proofErr w:type="spellStart"/>
      <w:r w:rsidRPr="00922D93">
        <w:rPr>
          <w:bCs/>
          <w:color w:val="000000" w:themeColor="text1"/>
          <w:sz w:val="28"/>
          <w:szCs w:val="28"/>
        </w:rPr>
        <w:t>ЕвроХим</w:t>
      </w:r>
      <w:proofErr w:type="spellEnd"/>
      <w:r w:rsidRPr="00922D93">
        <w:rPr>
          <w:bCs/>
          <w:color w:val="000000" w:themeColor="text1"/>
          <w:sz w:val="28"/>
          <w:szCs w:val="28"/>
        </w:rPr>
        <w:t xml:space="preserve"> терминал Усть-Луга</w:t>
      </w:r>
      <w:r>
        <w:rPr>
          <w:bCs/>
          <w:color w:val="000000" w:themeColor="text1"/>
          <w:sz w:val="28"/>
          <w:szCs w:val="28"/>
        </w:rPr>
        <w:t>»</w:t>
      </w:r>
      <w:r w:rsidRPr="00922D93">
        <w:rPr>
          <w:bCs/>
          <w:i/>
          <w:color w:val="000000" w:themeColor="text1"/>
          <w:sz w:val="28"/>
          <w:szCs w:val="28"/>
        </w:rPr>
        <w:t xml:space="preserve"> </w:t>
      </w:r>
      <w:r w:rsidRPr="00922D93">
        <w:rPr>
          <w:bCs/>
          <w:color w:val="000000" w:themeColor="text1"/>
          <w:sz w:val="28"/>
          <w:szCs w:val="28"/>
        </w:rPr>
        <w:t xml:space="preserve">(строительство терминала по перевалке минеральных удобрений </w:t>
      </w:r>
      <w:r w:rsidR="00DD56AB">
        <w:rPr>
          <w:bCs/>
          <w:color w:val="000000" w:themeColor="text1"/>
          <w:sz w:val="28"/>
          <w:szCs w:val="28"/>
        </w:rPr>
        <w:t xml:space="preserve">«Порт Фавор» </w:t>
      </w:r>
      <w:r w:rsidRPr="00922D93">
        <w:rPr>
          <w:bCs/>
          <w:color w:val="000000" w:themeColor="text1"/>
          <w:sz w:val="28"/>
          <w:szCs w:val="28"/>
        </w:rPr>
        <w:t xml:space="preserve">в </w:t>
      </w:r>
      <w:r w:rsidR="00DD56AB">
        <w:rPr>
          <w:bCs/>
          <w:color w:val="000000" w:themeColor="text1"/>
          <w:sz w:val="28"/>
          <w:szCs w:val="28"/>
        </w:rPr>
        <w:t>МТП</w:t>
      </w:r>
      <w:r w:rsidRPr="00922D93">
        <w:rPr>
          <w:bCs/>
          <w:color w:val="000000" w:themeColor="text1"/>
          <w:sz w:val="28"/>
          <w:szCs w:val="28"/>
        </w:rPr>
        <w:t xml:space="preserve"> </w:t>
      </w:r>
      <w:r w:rsidR="00DD56AB">
        <w:rPr>
          <w:bCs/>
          <w:color w:val="000000" w:themeColor="text1"/>
          <w:sz w:val="28"/>
          <w:szCs w:val="28"/>
        </w:rPr>
        <w:t>«</w:t>
      </w:r>
      <w:r w:rsidRPr="00922D93">
        <w:rPr>
          <w:bCs/>
          <w:color w:val="000000" w:themeColor="text1"/>
          <w:sz w:val="28"/>
          <w:szCs w:val="28"/>
        </w:rPr>
        <w:t>Усть-Луга</w:t>
      </w:r>
      <w:r w:rsidR="00DD56AB">
        <w:rPr>
          <w:bCs/>
          <w:color w:val="000000" w:themeColor="text1"/>
          <w:sz w:val="28"/>
          <w:szCs w:val="28"/>
        </w:rPr>
        <w:t>»</w:t>
      </w:r>
      <w:r w:rsidRPr="00922D93">
        <w:rPr>
          <w:bCs/>
          <w:color w:val="000000" w:themeColor="text1"/>
          <w:sz w:val="28"/>
          <w:szCs w:val="28"/>
        </w:rPr>
        <w:t xml:space="preserve">, более 35 млрд руб.), ООО </w:t>
      </w:r>
      <w:r>
        <w:rPr>
          <w:bCs/>
          <w:color w:val="000000" w:themeColor="text1"/>
          <w:sz w:val="28"/>
          <w:szCs w:val="28"/>
        </w:rPr>
        <w:t>«</w:t>
      </w:r>
      <w:proofErr w:type="spellStart"/>
      <w:r w:rsidRPr="00922D93">
        <w:rPr>
          <w:bCs/>
          <w:color w:val="000000" w:themeColor="text1"/>
          <w:sz w:val="28"/>
          <w:szCs w:val="28"/>
        </w:rPr>
        <w:t>ЕвроХим</w:t>
      </w:r>
      <w:proofErr w:type="spellEnd"/>
      <w:r w:rsidRPr="00922D93">
        <w:rPr>
          <w:bCs/>
          <w:color w:val="000000" w:themeColor="text1"/>
          <w:sz w:val="28"/>
          <w:szCs w:val="28"/>
        </w:rPr>
        <w:t xml:space="preserve"> Северо-Запад-2</w:t>
      </w:r>
      <w:r>
        <w:rPr>
          <w:bCs/>
          <w:color w:val="000000" w:themeColor="text1"/>
          <w:sz w:val="28"/>
          <w:szCs w:val="28"/>
        </w:rPr>
        <w:t>»</w:t>
      </w:r>
      <w:r w:rsidRPr="00922D93">
        <w:rPr>
          <w:bCs/>
          <w:color w:val="000000" w:themeColor="text1"/>
          <w:sz w:val="28"/>
          <w:szCs w:val="28"/>
        </w:rPr>
        <w:t xml:space="preserve"> (производство аммиака</w:t>
      </w:r>
      <w:r w:rsidR="00DD56AB">
        <w:rPr>
          <w:bCs/>
          <w:color w:val="000000" w:themeColor="text1"/>
          <w:sz w:val="28"/>
          <w:szCs w:val="28"/>
        </w:rPr>
        <w:t xml:space="preserve"> </w:t>
      </w:r>
      <w:r w:rsidRPr="00922D93">
        <w:rPr>
          <w:bCs/>
          <w:color w:val="000000" w:themeColor="text1"/>
          <w:sz w:val="28"/>
          <w:szCs w:val="28"/>
        </w:rPr>
        <w:t xml:space="preserve">и карбамида, около 138 млрд руб.), а также строительством второй очереди Ленинградской АЭС-2 (энергоблоки 3-4) суммарным объемом инвестиций более 676 </w:t>
      </w:r>
      <w:proofErr w:type="gramStart"/>
      <w:r w:rsidRPr="00922D93">
        <w:rPr>
          <w:bCs/>
          <w:color w:val="000000" w:themeColor="text1"/>
          <w:sz w:val="28"/>
          <w:szCs w:val="28"/>
        </w:rPr>
        <w:t>млрд</w:t>
      </w:r>
      <w:proofErr w:type="gramEnd"/>
      <w:r w:rsidRPr="00922D93">
        <w:rPr>
          <w:bCs/>
          <w:color w:val="000000" w:themeColor="text1"/>
          <w:sz w:val="28"/>
          <w:szCs w:val="28"/>
        </w:rPr>
        <w:t xml:space="preserve"> руб.</w:t>
      </w:r>
      <w:r w:rsidRPr="002167B2">
        <w:rPr>
          <w:bCs/>
          <w:color w:val="000000" w:themeColor="text1"/>
          <w:sz w:val="28"/>
          <w:szCs w:val="28"/>
        </w:rPr>
        <w:t xml:space="preserve"> </w:t>
      </w:r>
    </w:p>
    <w:p w:rsidR="00910F2E" w:rsidRPr="00510F54" w:rsidRDefault="00637FB2" w:rsidP="00910F2E">
      <w:pPr>
        <w:ind w:firstLine="709"/>
        <w:jc w:val="both"/>
        <w:rPr>
          <w:color w:val="000000" w:themeColor="text1"/>
          <w:sz w:val="28"/>
          <w:szCs w:val="28"/>
        </w:rPr>
      </w:pPr>
      <w:r w:rsidRPr="003E58DD">
        <w:rPr>
          <w:sz w:val="28"/>
          <w:szCs w:val="28"/>
        </w:rPr>
        <w:t xml:space="preserve">В </w:t>
      </w:r>
      <w:r w:rsidRPr="003E58DD">
        <w:rPr>
          <w:b/>
          <w:sz w:val="28"/>
          <w:szCs w:val="28"/>
        </w:rPr>
        <w:t>сфере развития</w:t>
      </w:r>
      <w:r w:rsidRPr="003E58DD">
        <w:rPr>
          <w:b/>
          <w:i/>
          <w:sz w:val="28"/>
          <w:szCs w:val="28"/>
        </w:rPr>
        <w:t xml:space="preserve"> </w:t>
      </w:r>
      <w:r w:rsidRPr="003E58DD">
        <w:rPr>
          <w:b/>
          <w:sz w:val="28"/>
          <w:szCs w:val="28"/>
        </w:rPr>
        <w:t xml:space="preserve">малого и среднего предпринимательства </w:t>
      </w:r>
      <w:r w:rsidR="00910F2E" w:rsidRPr="00910F2E">
        <w:rPr>
          <w:sz w:val="28"/>
          <w:szCs w:val="28"/>
        </w:rPr>
        <w:t xml:space="preserve">(далее – МСП) </w:t>
      </w:r>
      <w:r w:rsidR="00910F2E" w:rsidRPr="00910F2E">
        <w:rPr>
          <w:color w:val="000000" w:themeColor="text1"/>
          <w:sz w:val="28"/>
          <w:szCs w:val="28"/>
        </w:rPr>
        <w:t>по итогам 2025 года</w:t>
      </w:r>
      <w:r w:rsidR="00910F2E" w:rsidRPr="00725BA9">
        <w:rPr>
          <w:color w:val="000000" w:themeColor="text1"/>
          <w:sz w:val="28"/>
          <w:szCs w:val="28"/>
        </w:rPr>
        <w:t xml:space="preserve"> оценивается, что в Ленинградской области буд</w:t>
      </w:r>
      <w:r w:rsidR="00910F2E">
        <w:rPr>
          <w:color w:val="000000" w:themeColor="text1"/>
          <w:sz w:val="28"/>
          <w:szCs w:val="28"/>
        </w:rPr>
        <w:t>у</w:t>
      </w:r>
      <w:r w:rsidR="00910F2E" w:rsidRPr="00725BA9">
        <w:rPr>
          <w:color w:val="000000" w:themeColor="text1"/>
          <w:sz w:val="28"/>
          <w:szCs w:val="28"/>
        </w:rPr>
        <w:t>т осуществлять деятельность около 89</w:t>
      </w:r>
      <w:r w:rsidR="00056B38">
        <w:rPr>
          <w:color w:val="000000" w:themeColor="text1"/>
          <w:sz w:val="28"/>
          <w:szCs w:val="28"/>
        </w:rPr>
        <w:t> </w:t>
      </w:r>
      <w:r w:rsidR="00910F2E" w:rsidRPr="00725BA9">
        <w:rPr>
          <w:color w:val="000000" w:themeColor="text1"/>
          <w:sz w:val="28"/>
          <w:szCs w:val="28"/>
        </w:rPr>
        <w:t>654 предприятий малого и среднего бизнеса.</w:t>
      </w:r>
      <w:r w:rsidR="00910F2E">
        <w:rPr>
          <w:color w:val="000000" w:themeColor="text1"/>
          <w:sz w:val="28"/>
          <w:szCs w:val="28"/>
        </w:rPr>
        <w:t xml:space="preserve"> </w:t>
      </w:r>
      <w:r w:rsidR="00910F2E" w:rsidRPr="00725BA9">
        <w:rPr>
          <w:color w:val="000000" w:themeColor="text1"/>
          <w:sz w:val="28"/>
          <w:szCs w:val="28"/>
        </w:rPr>
        <w:t>Среднесписочная численность работников на предприятиях МСП по итогам 2025 года оценивается на уровне 168,3 тыс. человек - практически на уровне предыдущего года.</w:t>
      </w:r>
      <w:r w:rsidR="00910F2E">
        <w:rPr>
          <w:color w:val="000000" w:themeColor="text1"/>
          <w:sz w:val="28"/>
          <w:szCs w:val="28"/>
        </w:rPr>
        <w:t xml:space="preserve"> </w:t>
      </w:r>
      <w:r w:rsidR="00910F2E" w:rsidRPr="00510F54">
        <w:rPr>
          <w:color w:val="000000" w:themeColor="text1"/>
          <w:sz w:val="28"/>
          <w:szCs w:val="28"/>
        </w:rPr>
        <w:t xml:space="preserve">При сохранении текущей динамики развития МСП к концу 2025 года оборот субъектов малого и среднего предпринимательства ожидается на уровне 1 479,1 </w:t>
      </w:r>
      <w:proofErr w:type="gramStart"/>
      <w:r w:rsidR="00910F2E" w:rsidRPr="00510F54">
        <w:rPr>
          <w:color w:val="000000" w:themeColor="text1"/>
          <w:sz w:val="28"/>
          <w:szCs w:val="28"/>
        </w:rPr>
        <w:t>млрд</w:t>
      </w:r>
      <w:proofErr w:type="gramEnd"/>
      <w:r w:rsidR="00910F2E" w:rsidRPr="00510F54">
        <w:rPr>
          <w:color w:val="000000" w:themeColor="text1"/>
          <w:sz w:val="28"/>
          <w:szCs w:val="28"/>
        </w:rPr>
        <w:t xml:space="preserve"> рублей.</w:t>
      </w:r>
    </w:p>
    <w:p w:rsidR="00056B38" w:rsidRPr="004A5459" w:rsidRDefault="003C5153" w:rsidP="00056B38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CE2DF3">
        <w:rPr>
          <w:sz w:val="28"/>
          <w:szCs w:val="28"/>
        </w:rPr>
        <w:t xml:space="preserve">В сфере </w:t>
      </w:r>
      <w:r w:rsidRPr="00CE2DF3">
        <w:rPr>
          <w:b/>
          <w:sz w:val="28"/>
          <w:szCs w:val="28"/>
        </w:rPr>
        <w:t>потребительского рынка Ленинградской области</w:t>
      </w:r>
      <w:r w:rsidR="00233937" w:rsidRPr="00CE2DF3">
        <w:rPr>
          <w:sz w:val="28"/>
          <w:szCs w:val="28"/>
        </w:rPr>
        <w:t xml:space="preserve"> </w:t>
      </w:r>
      <w:r w:rsidR="007A2ADE">
        <w:rPr>
          <w:sz w:val="28"/>
          <w:szCs w:val="28"/>
        </w:rPr>
        <w:t>в 202</w:t>
      </w:r>
      <w:r w:rsidR="00056B38">
        <w:rPr>
          <w:sz w:val="28"/>
          <w:szCs w:val="28"/>
        </w:rPr>
        <w:t>5</w:t>
      </w:r>
      <w:r w:rsidR="0008231F">
        <w:rPr>
          <w:sz w:val="28"/>
          <w:szCs w:val="28"/>
        </w:rPr>
        <w:t xml:space="preserve"> </w:t>
      </w:r>
      <w:r w:rsidR="00233937" w:rsidRPr="00CE2DF3">
        <w:rPr>
          <w:sz w:val="28"/>
          <w:szCs w:val="28"/>
        </w:rPr>
        <w:t xml:space="preserve">году ожидается </w:t>
      </w:r>
      <w:r w:rsidR="00056B38" w:rsidRPr="004A5459">
        <w:rPr>
          <w:color w:val="000000" w:themeColor="text1"/>
          <w:sz w:val="28"/>
          <w:szCs w:val="28"/>
        </w:rPr>
        <w:t>устойчивый рост, связанный с восстановлением потребительского спроса, умеренным ростом доходов населения, а также стабилизацией инфляционных ожиданий.</w:t>
      </w:r>
      <w:r w:rsidR="00056B38">
        <w:rPr>
          <w:color w:val="000000" w:themeColor="text1"/>
          <w:sz w:val="28"/>
          <w:szCs w:val="28"/>
        </w:rPr>
        <w:t xml:space="preserve"> </w:t>
      </w:r>
      <w:r w:rsidR="00056B38" w:rsidRPr="004A5459">
        <w:rPr>
          <w:color w:val="000000" w:themeColor="text1"/>
          <w:sz w:val="28"/>
          <w:szCs w:val="28"/>
        </w:rPr>
        <w:t xml:space="preserve">По оценке оборот розничной торговли составит 966,9 </w:t>
      </w:r>
      <w:proofErr w:type="gramStart"/>
      <w:r w:rsidR="00056B38" w:rsidRPr="004A5459">
        <w:rPr>
          <w:color w:val="000000" w:themeColor="text1"/>
          <w:sz w:val="28"/>
          <w:szCs w:val="28"/>
        </w:rPr>
        <w:t>млрд</w:t>
      </w:r>
      <w:proofErr w:type="gramEnd"/>
      <w:r w:rsidR="00056B38" w:rsidRPr="004A5459">
        <w:rPr>
          <w:color w:val="000000" w:themeColor="text1"/>
          <w:sz w:val="28"/>
          <w:szCs w:val="28"/>
        </w:rPr>
        <w:t xml:space="preserve"> рублей, что на 6,1% выше уровня 2024 года в сопоставимых ценах. В 2025 году объем платных услуг населению оценивается на уровне 186,4 </w:t>
      </w:r>
      <w:proofErr w:type="gramStart"/>
      <w:r w:rsidR="00056B38" w:rsidRPr="004A5459">
        <w:rPr>
          <w:color w:val="000000" w:themeColor="text1"/>
          <w:sz w:val="28"/>
          <w:szCs w:val="28"/>
        </w:rPr>
        <w:t>млрд</w:t>
      </w:r>
      <w:proofErr w:type="gramEnd"/>
      <w:r w:rsidR="00056B38" w:rsidRPr="004A5459">
        <w:rPr>
          <w:color w:val="000000" w:themeColor="text1"/>
          <w:sz w:val="28"/>
          <w:szCs w:val="28"/>
        </w:rPr>
        <w:t xml:space="preserve"> рублей с реальным приростом на 3,1% по отношению к 2024 году.</w:t>
      </w:r>
    </w:p>
    <w:p w:rsidR="00056B38" w:rsidRPr="002167B2" w:rsidRDefault="00E72CC8" w:rsidP="00056B38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936E2A">
        <w:rPr>
          <w:sz w:val="28"/>
          <w:szCs w:val="28"/>
        </w:rPr>
        <w:t xml:space="preserve">По оценке </w:t>
      </w:r>
      <w:r w:rsidRPr="00E72CC8">
        <w:rPr>
          <w:sz w:val="28"/>
          <w:szCs w:val="28"/>
        </w:rPr>
        <w:t>202</w:t>
      </w:r>
      <w:r w:rsidR="00056B38">
        <w:rPr>
          <w:sz w:val="28"/>
          <w:szCs w:val="28"/>
        </w:rPr>
        <w:t>5</w:t>
      </w:r>
      <w:r w:rsidRPr="00E72CC8">
        <w:rPr>
          <w:sz w:val="28"/>
          <w:szCs w:val="28"/>
        </w:rPr>
        <w:t xml:space="preserve"> года</w:t>
      </w:r>
      <w:r w:rsidRPr="00936E2A">
        <w:rPr>
          <w:sz w:val="28"/>
          <w:szCs w:val="28"/>
        </w:rPr>
        <w:t xml:space="preserve"> номинальная начисленная среднемесячная </w:t>
      </w:r>
      <w:r w:rsidRPr="00E72CC8">
        <w:rPr>
          <w:b/>
          <w:sz w:val="28"/>
          <w:szCs w:val="28"/>
        </w:rPr>
        <w:t>заработная плата работников</w:t>
      </w:r>
      <w:r w:rsidRPr="00936E2A">
        <w:rPr>
          <w:sz w:val="28"/>
          <w:szCs w:val="28"/>
        </w:rPr>
        <w:t xml:space="preserve"> организаций региона </w:t>
      </w:r>
      <w:r w:rsidR="00056B38" w:rsidRPr="001C0EAC">
        <w:rPr>
          <w:color w:val="000000" w:themeColor="text1"/>
          <w:sz w:val="28"/>
          <w:szCs w:val="28"/>
        </w:rPr>
        <w:t xml:space="preserve">возрастет до 94 580 руб. (115,3% к уровню 2024 года), реальная заработная плата работников организаций составит 106% </w:t>
      </w:r>
      <w:r w:rsidR="00056B38" w:rsidRPr="001C0EAC">
        <w:rPr>
          <w:color w:val="000000" w:themeColor="text1"/>
          <w:sz w:val="28"/>
          <w:szCs w:val="28"/>
        </w:rPr>
        <w:br/>
        <w:t>к уровню 2024 года.</w:t>
      </w:r>
      <w:r w:rsidR="00056B38" w:rsidRPr="002167B2">
        <w:rPr>
          <w:color w:val="000000" w:themeColor="text1"/>
          <w:sz w:val="28"/>
          <w:szCs w:val="28"/>
        </w:rPr>
        <w:t xml:space="preserve"> </w:t>
      </w:r>
    </w:p>
    <w:p w:rsidR="00F75970" w:rsidRPr="002D2FA7" w:rsidRDefault="00F75970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8"/>
        </w:rPr>
        <w:t>Стабильный рост заработной платы планируется обеспечить за счет:</w:t>
      </w:r>
    </w:p>
    <w:p w:rsidR="00F75970" w:rsidRPr="002D2FA7" w:rsidRDefault="00F75970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8"/>
        </w:rPr>
        <w:t xml:space="preserve">1. Осуществления мер по обеспечению минимальных государственных гарантий по оплате труда. </w:t>
      </w:r>
      <w:proofErr w:type="gramStart"/>
      <w:r w:rsidRPr="002D2FA7">
        <w:rPr>
          <w:color w:val="000000" w:themeColor="text1"/>
          <w:sz w:val="28"/>
          <w:szCs w:val="28"/>
        </w:rPr>
        <w:t xml:space="preserve">В соответствии со статьей 4 Федерального закона от 24.10.1997 № 134-ФЗ с 2022 года величина </w:t>
      </w:r>
      <w:r w:rsidRPr="002D2FA7">
        <w:rPr>
          <w:bCs/>
          <w:color w:val="000000" w:themeColor="text1"/>
          <w:sz w:val="28"/>
          <w:szCs w:val="28"/>
        </w:rPr>
        <w:t>прожиточного минимума</w:t>
      </w:r>
      <w:r w:rsidRPr="002D2FA7">
        <w:rPr>
          <w:color w:val="000000" w:themeColor="text1"/>
          <w:sz w:val="28"/>
          <w:szCs w:val="28"/>
        </w:rPr>
        <w:t xml:space="preserve"> (далее – ПМ) на душу населения в Ленинградской области рассчитывается ежегодно путем умножения величины ПМ на душу населения в целом по Российской Федерации, установленной на очередной год, на коэффициент региональной дифференциации, утвержденный дорожной картой ежегодного установления величины ПМ на душу населения в Ленинградской области.</w:t>
      </w:r>
      <w:proofErr w:type="gramEnd"/>
    </w:p>
    <w:p w:rsidR="00F75970" w:rsidRDefault="00F75970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8"/>
        </w:rPr>
        <w:t>Величина ПМ на душу населения в среднем на 202</w:t>
      </w:r>
      <w:r>
        <w:rPr>
          <w:color w:val="000000" w:themeColor="text1"/>
          <w:sz w:val="28"/>
          <w:szCs w:val="28"/>
        </w:rPr>
        <w:t>5</w:t>
      </w:r>
      <w:r w:rsidRPr="002D2FA7">
        <w:rPr>
          <w:color w:val="000000" w:themeColor="text1"/>
          <w:sz w:val="28"/>
          <w:szCs w:val="28"/>
        </w:rPr>
        <w:t xml:space="preserve"> год установлена в размере 18</w:t>
      </w:r>
      <w:r w:rsidR="00E75273">
        <w:rPr>
          <w:color w:val="000000" w:themeColor="text1"/>
          <w:sz w:val="28"/>
          <w:szCs w:val="28"/>
        </w:rPr>
        <w:t> </w:t>
      </w:r>
      <w:r w:rsidRPr="002D2FA7">
        <w:rPr>
          <w:color w:val="000000" w:themeColor="text1"/>
          <w:sz w:val="28"/>
          <w:szCs w:val="28"/>
        </w:rPr>
        <w:t>974 рубля.</w:t>
      </w:r>
    </w:p>
    <w:p w:rsidR="00BD3492" w:rsidRPr="002D2FA7" w:rsidRDefault="00BD3492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bookmarkStart w:id="5" w:name="_GoBack"/>
      <w:bookmarkEnd w:id="5"/>
    </w:p>
    <w:p w:rsidR="00F75970" w:rsidRPr="002D2FA7" w:rsidRDefault="00F75970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8"/>
        </w:rPr>
        <w:lastRenderedPageBreak/>
        <w:t xml:space="preserve">2. Планомерного повышения заработной платы отдельных категорий работников бюджетной сферы и сохранение достигнутых целевых показателей </w:t>
      </w:r>
      <w:r w:rsidRPr="002D2FA7">
        <w:rPr>
          <w:color w:val="000000" w:themeColor="text1"/>
          <w:sz w:val="28"/>
          <w:szCs w:val="28"/>
        </w:rPr>
        <w:br/>
        <w:t xml:space="preserve">в соответствии с указом Президента Российской Федерации от 7 мая 2012 года № 597 «О мероприятиях по реализации государственной социальной политики». </w:t>
      </w:r>
    </w:p>
    <w:p w:rsidR="00F75970" w:rsidRPr="002D2FA7" w:rsidRDefault="00F75970" w:rsidP="00F75970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</w:rPr>
        <w:t xml:space="preserve">3. </w:t>
      </w:r>
      <w:proofErr w:type="gramStart"/>
      <w:r w:rsidRPr="002D2FA7">
        <w:rPr>
          <w:color w:val="000000" w:themeColor="text1"/>
          <w:sz w:val="28"/>
        </w:rPr>
        <w:t>Реализации в рамках Указа Президента Российской Федерации от 28.11.2025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мероприятий «дорожной карты» по достижению в Ленинградской области значений (уровней) показателя «Темп роста (индекс роста) реального среднедушевого денежного дохода населения» для оценки эффективности деятельности Губернатора Ленинградской области и деятельности органов исполнительной власти Ленинградской</w:t>
      </w:r>
      <w:proofErr w:type="gramEnd"/>
      <w:r w:rsidRPr="002D2FA7">
        <w:rPr>
          <w:color w:val="000000" w:themeColor="text1"/>
          <w:sz w:val="28"/>
        </w:rPr>
        <w:t xml:space="preserve"> области с обеспечением на период 2025-2030 годов устойчивого роста доходов населения Ленинградской области темпами </w:t>
      </w:r>
      <w:r w:rsidRPr="002D2FA7">
        <w:rPr>
          <w:color w:val="000000" w:themeColor="text1"/>
          <w:sz w:val="28"/>
          <w:szCs w:val="28"/>
        </w:rPr>
        <w:t>не ниже уровня инфляции.</w:t>
      </w:r>
    </w:p>
    <w:p w:rsidR="00F75970" w:rsidRPr="002D2FA7" w:rsidRDefault="00F75970" w:rsidP="00F75970">
      <w:pPr>
        <w:pStyle w:val="Default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0"/>
        </w:rPr>
        <w:t>4. Реализации мероприятий региональной программы Ленинградской области «Снижение доли населения с доходами ниже границы бедности»,  утвержденной постановлением Правительства Ленинградской области от 07.12.2020 № 801.</w:t>
      </w:r>
      <w:r w:rsidRPr="002D2FA7">
        <w:rPr>
          <w:color w:val="000000" w:themeColor="text1"/>
          <w:sz w:val="28"/>
          <w:szCs w:val="28"/>
        </w:rPr>
        <w:t xml:space="preserve"> </w:t>
      </w:r>
    </w:p>
    <w:p w:rsidR="00F75970" w:rsidRPr="002D2FA7" w:rsidRDefault="00F75970" w:rsidP="00F75970">
      <w:pPr>
        <w:pStyle w:val="Default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D2FA7">
        <w:rPr>
          <w:color w:val="000000" w:themeColor="text1"/>
          <w:sz w:val="28"/>
          <w:szCs w:val="28"/>
        </w:rPr>
        <w:t xml:space="preserve">Ленинградская область входит в ТОП-7 регионов с самым низким уровнем бедности: 2024 год – 5,4% (2023 год – 6,4%). </w:t>
      </w:r>
    </w:p>
    <w:p w:rsidR="00637FB2" w:rsidRPr="007E2D5C" w:rsidRDefault="00637FB2" w:rsidP="00C0148E">
      <w:pPr>
        <w:pStyle w:val="24"/>
        <w:shd w:val="clear" w:color="auto" w:fill="FFFFFF" w:themeFill="background1"/>
        <w:spacing w:after="0"/>
        <w:ind w:firstLine="709"/>
        <w:rPr>
          <w:szCs w:val="28"/>
        </w:rPr>
      </w:pPr>
      <w:r w:rsidRPr="007E2D5C">
        <w:rPr>
          <w:szCs w:val="28"/>
        </w:rPr>
        <w:t>В 20</w:t>
      </w:r>
      <w:r w:rsidR="007E2D5C" w:rsidRPr="007E2D5C">
        <w:rPr>
          <w:szCs w:val="28"/>
        </w:rPr>
        <w:t>2</w:t>
      </w:r>
      <w:r w:rsidR="00F75970">
        <w:rPr>
          <w:szCs w:val="28"/>
        </w:rPr>
        <w:t>5</w:t>
      </w:r>
      <w:r w:rsidRPr="007E2D5C">
        <w:rPr>
          <w:szCs w:val="28"/>
        </w:rPr>
        <w:t xml:space="preserve"> году </w:t>
      </w:r>
      <w:r w:rsidRPr="007E2D5C">
        <w:rPr>
          <w:b/>
          <w:szCs w:val="28"/>
        </w:rPr>
        <w:t>численност</w:t>
      </w:r>
      <w:r w:rsidR="003C5153" w:rsidRPr="007E2D5C">
        <w:rPr>
          <w:b/>
          <w:szCs w:val="28"/>
        </w:rPr>
        <w:t>ь</w:t>
      </w:r>
      <w:r w:rsidRPr="007E2D5C">
        <w:rPr>
          <w:b/>
          <w:szCs w:val="28"/>
        </w:rPr>
        <w:t xml:space="preserve"> занятых в экономике</w:t>
      </w:r>
      <w:r w:rsidRPr="007E2D5C">
        <w:rPr>
          <w:szCs w:val="28"/>
        </w:rPr>
        <w:t xml:space="preserve"> </w:t>
      </w:r>
      <w:r w:rsidR="002D68A6" w:rsidRPr="007E2D5C">
        <w:rPr>
          <w:szCs w:val="28"/>
        </w:rPr>
        <w:t xml:space="preserve">области оценивается </w:t>
      </w:r>
      <w:r w:rsidR="00D65660" w:rsidRPr="007E2D5C">
        <w:rPr>
          <w:szCs w:val="28"/>
        </w:rPr>
        <w:br/>
      </w:r>
      <w:r w:rsidR="002D68A6" w:rsidRPr="007E2D5C">
        <w:rPr>
          <w:szCs w:val="28"/>
        </w:rPr>
        <w:t>на</w:t>
      </w:r>
      <w:r w:rsidR="003C5153" w:rsidRPr="007E2D5C">
        <w:rPr>
          <w:szCs w:val="28"/>
        </w:rPr>
        <w:t xml:space="preserve"> уровне </w:t>
      </w:r>
      <w:r w:rsidR="00F75970">
        <w:rPr>
          <w:szCs w:val="28"/>
        </w:rPr>
        <w:t>941,7</w:t>
      </w:r>
      <w:r w:rsidR="00864530" w:rsidRPr="007E2D5C">
        <w:rPr>
          <w:szCs w:val="28"/>
        </w:rPr>
        <w:t xml:space="preserve"> тыс.</w:t>
      </w:r>
      <w:r w:rsidRPr="007E2D5C">
        <w:rPr>
          <w:szCs w:val="28"/>
        </w:rPr>
        <w:t xml:space="preserve"> человек, или на </w:t>
      </w:r>
      <w:r w:rsidR="00C0148E">
        <w:rPr>
          <w:szCs w:val="28"/>
        </w:rPr>
        <w:t>100,</w:t>
      </w:r>
      <w:r w:rsidR="00F75970">
        <w:rPr>
          <w:szCs w:val="28"/>
        </w:rPr>
        <w:t>8</w:t>
      </w:r>
      <w:r w:rsidRPr="007E2D5C">
        <w:rPr>
          <w:szCs w:val="28"/>
        </w:rPr>
        <w:t>%</w:t>
      </w:r>
      <w:r w:rsidR="00864530" w:rsidRPr="007E2D5C">
        <w:rPr>
          <w:szCs w:val="28"/>
        </w:rPr>
        <w:t xml:space="preserve"> по сравнению с 20</w:t>
      </w:r>
      <w:r w:rsidR="007A61F0" w:rsidRPr="007E2D5C">
        <w:rPr>
          <w:szCs w:val="28"/>
        </w:rPr>
        <w:t>2</w:t>
      </w:r>
      <w:r w:rsidR="00F75970">
        <w:rPr>
          <w:szCs w:val="28"/>
        </w:rPr>
        <w:t>4</w:t>
      </w:r>
      <w:r w:rsidR="00864530" w:rsidRPr="007E2D5C">
        <w:rPr>
          <w:szCs w:val="28"/>
        </w:rPr>
        <w:t xml:space="preserve"> годом</w:t>
      </w:r>
      <w:r w:rsidRPr="007E2D5C">
        <w:rPr>
          <w:szCs w:val="28"/>
        </w:rPr>
        <w:t>.</w:t>
      </w:r>
    </w:p>
    <w:p w:rsidR="00F75970" w:rsidRPr="006A4E66" w:rsidRDefault="00F75970" w:rsidP="00F75970">
      <w:pPr>
        <w:pStyle w:val="aa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5970">
        <w:rPr>
          <w:color w:val="000000" w:themeColor="text1"/>
          <w:sz w:val="28"/>
          <w:szCs w:val="28"/>
        </w:rPr>
        <w:t>По оценке к концу 2025 года</w:t>
      </w:r>
      <w:r w:rsidRPr="006A4E66">
        <w:rPr>
          <w:color w:val="000000" w:themeColor="text1"/>
          <w:sz w:val="28"/>
          <w:szCs w:val="28"/>
        </w:rPr>
        <w:t xml:space="preserve"> </w:t>
      </w:r>
      <w:r w:rsidRPr="00F75970">
        <w:rPr>
          <w:b/>
          <w:color w:val="000000" w:themeColor="text1"/>
          <w:sz w:val="28"/>
          <w:szCs w:val="28"/>
        </w:rPr>
        <w:t>уровень регистрируемой безработицы</w:t>
      </w:r>
      <w:r w:rsidRPr="006A4E66">
        <w:rPr>
          <w:color w:val="000000" w:themeColor="text1"/>
          <w:sz w:val="28"/>
          <w:szCs w:val="28"/>
        </w:rPr>
        <w:t xml:space="preserve"> не превысит значение 0,2% при численности официально зарегистрированных безработных не более 2,3 тыс. чел.</w:t>
      </w:r>
    </w:p>
    <w:p w:rsidR="00F75970" w:rsidRPr="006A4E66" w:rsidRDefault="00F75970" w:rsidP="00F75970">
      <w:pPr>
        <w:pStyle w:val="aa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A4E66">
        <w:rPr>
          <w:color w:val="000000" w:themeColor="text1"/>
          <w:sz w:val="28"/>
          <w:szCs w:val="28"/>
        </w:rPr>
        <w:t xml:space="preserve">Уровень общей безработицы в среднем за 2025 год будет не более 2,8% при численности безработных в среднем за 2025 год порядка 32,1 тыс. чел. </w:t>
      </w:r>
    </w:p>
    <w:p w:rsidR="0048471A" w:rsidRPr="00936E2A" w:rsidRDefault="0048471A" w:rsidP="00C0148E">
      <w:pPr>
        <w:pStyle w:val="24"/>
        <w:shd w:val="clear" w:color="auto" w:fill="FFFFFF" w:themeFill="background1"/>
        <w:spacing w:after="0"/>
        <w:ind w:firstLine="709"/>
      </w:pPr>
      <w:r w:rsidRPr="00936E2A">
        <w:rPr>
          <w:szCs w:val="28"/>
        </w:rPr>
        <w:t xml:space="preserve">По оценке </w:t>
      </w:r>
      <w:r w:rsidRPr="0048471A">
        <w:rPr>
          <w:szCs w:val="28"/>
        </w:rPr>
        <w:t>в 202</w:t>
      </w:r>
      <w:r w:rsidR="00182999">
        <w:rPr>
          <w:szCs w:val="28"/>
        </w:rPr>
        <w:t>5</w:t>
      </w:r>
      <w:r w:rsidRPr="0048471A">
        <w:rPr>
          <w:szCs w:val="28"/>
        </w:rPr>
        <w:t xml:space="preserve"> году</w:t>
      </w:r>
      <w:r w:rsidRPr="00936E2A">
        <w:rPr>
          <w:szCs w:val="28"/>
        </w:rPr>
        <w:t xml:space="preserve"> ср</w:t>
      </w:r>
      <w:r w:rsidRPr="00936E2A">
        <w:rPr>
          <w:bCs/>
          <w:iCs/>
        </w:rPr>
        <w:t xml:space="preserve">еднегодовая </w:t>
      </w:r>
      <w:r w:rsidRPr="0048471A">
        <w:rPr>
          <w:b/>
          <w:bCs/>
          <w:iCs/>
        </w:rPr>
        <w:t>численность постоянного населения</w:t>
      </w:r>
      <w:r w:rsidRPr="00936E2A">
        <w:t xml:space="preserve"> </w:t>
      </w:r>
      <w:r w:rsidRPr="00936E2A">
        <w:br/>
        <w:t>в Ленинградской области увеличится по сравнению с 202</w:t>
      </w:r>
      <w:r w:rsidR="00182999">
        <w:t>4</w:t>
      </w:r>
      <w:r w:rsidR="005D1653">
        <w:t xml:space="preserve"> годом на 0,9</w:t>
      </w:r>
      <w:r w:rsidRPr="00936E2A">
        <w:t xml:space="preserve">% и составит </w:t>
      </w:r>
      <w:r w:rsidR="005D1653">
        <w:t>2</w:t>
      </w:r>
      <w:r w:rsidR="005831C5">
        <w:t> </w:t>
      </w:r>
      <w:r w:rsidR="005D1653">
        <w:t>066,0</w:t>
      </w:r>
      <w:r w:rsidRPr="00936E2A">
        <w:t xml:space="preserve"> тыс. человек. </w:t>
      </w:r>
    </w:p>
    <w:p w:rsidR="00137E99" w:rsidRPr="00936E2A" w:rsidRDefault="00137E99" w:rsidP="00C0148E">
      <w:pPr>
        <w:pStyle w:val="24"/>
        <w:shd w:val="clear" w:color="auto" w:fill="FFFFFF" w:themeFill="background1"/>
        <w:spacing w:after="0"/>
        <w:ind w:firstLine="709"/>
      </w:pPr>
      <w:r w:rsidRPr="00936E2A">
        <w:rPr>
          <w:bCs/>
          <w:iCs/>
        </w:rPr>
        <w:t>Уровень естественной убыли</w:t>
      </w:r>
      <w:r w:rsidRPr="00936E2A">
        <w:t xml:space="preserve"> увеличится до </w:t>
      </w:r>
      <w:r w:rsidR="005D1653">
        <w:t>5,7</w:t>
      </w:r>
      <w:r w:rsidRPr="00936E2A">
        <w:t xml:space="preserve"> чел. на 1000 населения, что обусловлено снижением уровня рождаемости до</w:t>
      </w:r>
      <w:r w:rsidR="005D1653">
        <w:t xml:space="preserve"> 5,5 </w:t>
      </w:r>
      <w:r w:rsidRPr="00936E2A">
        <w:t xml:space="preserve">родившихся на 1000 населения и увеличением уровня смертности до </w:t>
      </w:r>
      <w:r w:rsidR="005D1653">
        <w:t>11,2</w:t>
      </w:r>
      <w:r w:rsidRPr="00936E2A">
        <w:t xml:space="preserve"> умерших на 1000 населения.</w:t>
      </w:r>
    </w:p>
    <w:p w:rsidR="005D1653" w:rsidRPr="002167B2" w:rsidRDefault="005D1653" w:rsidP="005D1653">
      <w:pPr>
        <w:pStyle w:val="24"/>
        <w:shd w:val="clear" w:color="auto" w:fill="FFFFFF" w:themeFill="background1"/>
        <w:spacing w:after="0"/>
        <w:ind w:firstLine="709"/>
        <w:rPr>
          <w:color w:val="000000" w:themeColor="text1"/>
          <w:szCs w:val="28"/>
        </w:rPr>
      </w:pPr>
      <w:proofErr w:type="gramStart"/>
      <w:r w:rsidRPr="009B3104">
        <w:rPr>
          <w:rFonts w:eastAsia="Calibri"/>
          <w:color w:val="000000" w:themeColor="text1"/>
          <w:szCs w:val="28"/>
        </w:rPr>
        <w:t xml:space="preserve">Тенденция постепенного снижения общего коэффициента рождаемости связана с уменьшением числа рождаемости в </w:t>
      </w:r>
      <w:r w:rsidRPr="009B3104">
        <w:rPr>
          <w:color w:val="000000" w:themeColor="text1"/>
          <w:szCs w:val="28"/>
        </w:rPr>
        <w:t>1990-х годах в Российской Федерации и в Ленинградской области</w:t>
      </w:r>
      <w:r w:rsidRPr="009B3104">
        <w:rPr>
          <w:rFonts w:eastAsia="Calibri"/>
          <w:color w:val="000000" w:themeColor="text1"/>
          <w:szCs w:val="28"/>
        </w:rPr>
        <w:t xml:space="preserve">, в том числе женщин в </w:t>
      </w:r>
      <w:r w:rsidRPr="009B3104">
        <w:rPr>
          <w:color w:val="000000" w:themeColor="text1"/>
          <w:szCs w:val="28"/>
        </w:rPr>
        <w:t xml:space="preserve">возрасте наибольшей рождаемости (20-29 лет), </w:t>
      </w:r>
      <w:r w:rsidRPr="009B3104">
        <w:rPr>
          <w:rFonts w:eastAsia="Calibri"/>
          <w:color w:val="000000" w:themeColor="text1"/>
          <w:szCs w:val="28"/>
        </w:rPr>
        <w:t>а такж</w:t>
      </w:r>
      <w:r w:rsidRPr="005831C5">
        <w:rPr>
          <w:rFonts w:eastAsia="Calibri"/>
        </w:rPr>
        <w:t>е</w:t>
      </w:r>
      <w:r w:rsidRPr="009B3104">
        <w:rPr>
          <w:rFonts w:eastAsia="Calibri"/>
          <w:color w:val="000000" w:themeColor="text1"/>
          <w:szCs w:val="28"/>
        </w:rPr>
        <w:t xml:space="preserve"> региональными особенностями формирования статистической отчетности по территориальному признаку, а именно: </w:t>
      </w:r>
      <w:proofErr w:type="spellStart"/>
      <w:r w:rsidRPr="009B3104">
        <w:rPr>
          <w:rFonts w:eastAsia="Calibri"/>
          <w:color w:val="000000" w:themeColor="text1"/>
          <w:szCs w:val="28"/>
        </w:rPr>
        <w:t>родоразрешение</w:t>
      </w:r>
      <w:proofErr w:type="spellEnd"/>
      <w:r w:rsidRPr="009B3104">
        <w:rPr>
          <w:rFonts w:eastAsia="Calibri"/>
          <w:color w:val="000000" w:themeColor="text1"/>
          <w:szCs w:val="28"/>
        </w:rPr>
        <w:t xml:space="preserve"> значительного числа женщин – жительниц Ленинградской области </w:t>
      </w:r>
      <w:r w:rsidRPr="009B3104">
        <w:rPr>
          <w:rFonts w:eastAsia="Calibri"/>
          <w:color w:val="000000" w:themeColor="text1"/>
          <w:szCs w:val="28"/>
        </w:rPr>
        <w:br/>
        <w:t>и регистрация рожденных детей на территории Санкт-Петербурга.</w:t>
      </w:r>
      <w:proofErr w:type="gramEnd"/>
    </w:p>
    <w:p w:rsidR="005D1653" w:rsidRPr="002167B2" w:rsidRDefault="005D1653" w:rsidP="005D1653">
      <w:pPr>
        <w:pStyle w:val="24"/>
        <w:shd w:val="clear" w:color="auto" w:fill="FFFFFF" w:themeFill="background1"/>
        <w:spacing w:after="0"/>
        <w:ind w:firstLine="709"/>
        <w:rPr>
          <w:color w:val="000000" w:themeColor="text1"/>
        </w:rPr>
      </w:pPr>
      <w:r w:rsidRPr="004A6EB2">
        <w:rPr>
          <w:color w:val="000000" w:themeColor="text1"/>
        </w:rPr>
        <w:t xml:space="preserve">Интенсивность </w:t>
      </w:r>
      <w:r w:rsidRPr="004A6EB2">
        <w:rPr>
          <w:bCs/>
          <w:iCs/>
          <w:color w:val="000000" w:themeColor="text1"/>
        </w:rPr>
        <w:t>миграционного прироста</w:t>
      </w:r>
      <w:r w:rsidRPr="004A6EB2">
        <w:rPr>
          <w:color w:val="000000" w:themeColor="text1"/>
        </w:rPr>
        <w:t xml:space="preserve"> снизится до 24,8 тыс. человек на фоне сохранения сложной геополитической обстановки, трудностей с переводом денежных сре</w:t>
      </w:r>
      <w:proofErr w:type="gramStart"/>
      <w:r w:rsidRPr="004A6EB2">
        <w:rPr>
          <w:color w:val="000000" w:themeColor="text1"/>
        </w:rPr>
        <w:t>дств в в</w:t>
      </w:r>
      <w:proofErr w:type="gramEnd"/>
      <w:r w:rsidRPr="004A6EB2">
        <w:rPr>
          <w:color w:val="000000" w:themeColor="text1"/>
        </w:rPr>
        <w:t>алюте за пределы Российской Федерации, снижения мобильности населения в пределах России. Основной миграционный прирост будет обеспечен за счет сохранения притока населения из других регионов России и снижения притока мигрантов из стран СНГ и Зарубежья в связи с продолжением действия международных санкций.</w:t>
      </w:r>
      <w:r w:rsidRPr="002167B2">
        <w:rPr>
          <w:color w:val="000000" w:themeColor="text1"/>
        </w:rPr>
        <w:t xml:space="preserve"> </w:t>
      </w:r>
    </w:p>
    <w:p w:rsidR="002408D6" w:rsidRDefault="002408D6" w:rsidP="00444D23">
      <w:pPr>
        <w:pStyle w:val="24"/>
        <w:shd w:val="clear" w:color="auto" w:fill="FFFFFF"/>
        <w:spacing w:after="0"/>
        <w:ind w:firstLine="709"/>
        <w:rPr>
          <w:color w:val="FF0000"/>
        </w:rPr>
        <w:sectPr w:rsidR="002408D6" w:rsidSect="009905A5">
          <w:headerReference w:type="default" r:id="rId9"/>
          <w:pgSz w:w="11906" w:h="16838"/>
          <w:pgMar w:top="1134" w:right="567" w:bottom="568" w:left="1134" w:header="708" w:footer="708" w:gutter="0"/>
          <w:cols w:space="708"/>
          <w:titlePg/>
          <w:docGrid w:linePitch="360"/>
        </w:sectPr>
      </w:pPr>
    </w:p>
    <w:p w:rsidR="00171F9D" w:rsidRDefault="00171F9D" w:rsidP="00171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Основные параметры прогноза социально-экономического развития Ленинградской области </w:t>
      </w:r>
    </w:p>
    <w:p w:rsidR="00171F9D" w:rsidRDefault="00171F9D" w:rsidP="00171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D165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5D16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</w:t>
      </w:r>
    </w:p>
    <w:p w:rsidR="00171F9D" w:rsidRPr="00D810A4" w:rsidRDefault="00171F9D" w:rsidP="00171F9D">
      <w:pPr>
        <w:jc w:val="center"/>
        <w:rPr>
          <w:b/>
          <w:sz w:val="24"/>
          <w:szCs w:val="24"/>
        </w:rPr>
      </w:pPr>
    </w:p>
    <w:p w:rsidR="00171F9D" w:rsidRDefault="00171F9D" w:rsidP="00171F9D">
      <w:pPr>
        <w:jc w:val="right"/>
        <w:rPr>
          <w:sz w:val="24"/>
          <w:szCs w:val="24"/>
        </w:rPr>
      </w:pPr>
      <w:r w:rsidRPr="00ED61E7">
        <w:rPr>
          <w:sz w:val="24"/>
          <w:szCs w:val="24"/>
        </w:rPr>
        <w:t xml:space="preserve">по состоянию на </w:t>
      </w:r>
      <w:r w:rsidR="005D1653">
        <w:rPr>
          <w:sz w:val="24"/>
          <w:szCs w:val="24"/>
        </w:rPr>
        <w:t>2</w:t>
      </w:r>
      <w:r w:rsidR="001D511D">
        <w:rPr>
          <w:sz w:val="24"/>
          <w:szCs w:val="24"/>
        </w:rPr>
        <w:t>2</w:t>
      </w:r>
      <w:r>
        <w:rPr>
          <w:sz w:val="24"/>
          <w:szCs w:val="24"/>
        </w:rPr>
        <w:t>.07.202</w:t>
      </w:r>
      <w:r w:rsidR="005D1653">
        <w:rPr>
          <w:sz w:val="24"/>
          <w:szCs w:val="24"/>
        </w:rPr>
        <w:t>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92"/>
        <w:gridCol w:w="1549"/>
        <w:gridCol w:w="1364"/>
        <w:gridCol w:w="1580"/>
        <w:gridCol w:w="1269"/>
        <w:gridCol w:w="1463"/>
        <w:gridCol w:w="1269"/>
      </w:tblGrid>
      <w:tr w:rsidR="00171F9D" w:rsidRPr="00DC462B" w:rsidTr="00141710">
        <w:trPr>
          <w:trHeight w:val="315"/>
          <w:tblHeader/>
          <w:jc w:val="center"/>
        </w:trPr>
        <w:tc>
          <w:tcPr>
            <w:tcW w:w="6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Показатель, единицы измерения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5D16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5D1653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5D16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5D1653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5D16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5D1653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71F9D" w:rsidRPr="00DC462B" w:rsidTr="00141710">
        <w:trPr>
          <w:trHeight w:val="315"/>
          <w:tblHeader/>
          <w:jc w:val="center"/>
        </w:trPr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прогноз</w:t>
            </w:r>
          </w:p>
        </w:tc>
      </w:tr>
      <w:tr w:rsidR="00171F9D" w:rsidRPr="00DC462B" w:rsidTr="00141710">
        <w:trPr>
          <w:trHeight w:val="510"/>
          <w:tblHeader/>
          <w:jc w:val="center"/>
        </w:trPr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171F9D" w:rsidRPr="00DC462B" w:rsidTr="008A11D3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Валовой региональный продукт (ВРП)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</w:tr>
      <w:tr w:rsidR="00CD5122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122" w:rsidRPr="00DC462B" w:rsidRDefault="00CD5122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Индекс-дефлятор объема ВРП,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104,3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105,0</w:t>
            </w:r>
          </w:p>
        </w:tc>
      </w:tr>
      <w:tr w:rsidR="00CD5122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122" w:rsidRPr="00DC462B" w:rsidRDefault="00CD5122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 физического объема ВРП,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102,5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102,0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D5122">
              <w:rPr>
                <w:b/>
                <w:bCs/>
                <w:sz w:val="24"/>
                <w:szCs w:val="24"/>
              </w:rPr>
              <w:t>103,0</w:t>
            </w:r>
          </w:p>
        </w:tc>
      </w:tr>
      <w:tr w:rsidR="00CD5122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122" w:rsidRPr="00DC462B" w:rsidRDefault="00CD5122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Объем ВРП,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105,5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105,6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107,6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106,1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122" w:rsidRPr="00CD5122" w:rsidRDefault="00CD5122" w:rsidP="005C42A1">
            <w:pPr>
              <w:jc w:val="center"/>
              <w:rPr>
                <w:sz w:val="24"/>
                <w:szCs w:val="24"/>
              </w:rPr>
            </w:pPr>
            <w:r w:rsidRPr="00CD5122">
              <w:rPr>
                <w:sz w:val="24"/>
                <w:szCs w:val="24"/>
              </w:rPr>
              <w:t>108,1</w:t>
            </w:r>
          </w:p>
        </w:tc>
      </w:tr>
      <w:tr w:rsidR="00171F9D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5C42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5C42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5C42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5C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5C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5C42A1">
            <w:pPr>
              <w:jc w:val="center"/>
              <w:rPr>
                <w:sz w:val="24"/>
                <w:szCs w:val="24"/>
              </w:rPr>
            </w:pPr>
          </w:p>
        </w:tc>
      </w:tr>
      <w:tr w:rsidR="005C42A1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A1" w:rsidRPr="00DC462B" w:rsidRDefault="005C42A1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Индекс-дефлятор,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104,9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104,9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104,7</w:t>
            </w:r>
          </w:p>
        </w:tc>
      </w:tr>
      <w:tr w:rsidR="005C42A1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A1" w:rsidRPr="00DC462B" w:rsidRDefault="005C42A1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101,8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102,7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102,6</w:t>
            </w:r>
          </w:p>
        </w:tc>
      </w:tr>
      <w:tr w:rsidR="005C42A1" w:rsidRPr="00DC462B" w:rsidTr="005C42A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A1" w:rsidRPr="00DC462B" w:rsidRDefault="005C42A1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Объем промышленного производства,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106,5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107,7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106,1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2A1" w:rsidRPr="005C42A1" w:rsidRDefault="005C42A1" w:rsidP="005C42A1">
            <w:pPr>
              <w:jc w:val="center"/>
              <w:rPr>
                <w:sz w:val="24"/>
                <w:szCs w:val="24"/>
              </w:rPr>
            </w:pPr>
            <w:r w:rsidRPr="005C42A1">
              <w:rPr>
                <w:sz w:val="24"/>
                <w:szCs w:val="24"/>
              </w:rPr>
              <w:t>107,5</w:t>
            </w:r>
          </w:p>
        </w:tc>
      </w:tr>
      <w:tr w:rsidR="00171F9D" w:rsidRPr="00001A19" w:rsidTr="008A11D3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001A19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1A19">
              <w:rPr>
                <w:b/>
                <w:bCs/>
                <w:color w:val="000000"/>
                <w:sz w:val="24"/>
                <w:szCs w:val="24"/>
              </w:rPr>
              <w:t xml:space="preserve">Производство кокса, нефтепродуктов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71F9D" w:rsidRPr="00001A19" w:rsidTr="008A11D3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001A19" w:rsidRDefault="00171F9D" w:rsidP="0013080B">
            <w:pPr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 xml:space="preserve">Индекс-дефлятор,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811F82" w:rsidRPr="00001A19" w:rsidTr="00811F82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82" w:rsidRPr="00001A19" w:rsidRDefault="00811F82" w:rsidP="0013080B">
            <w:pPr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 xml:space="preserve">Индекс производства,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F82" w:rsidRPr="00001A19" w:rsidRDefault="00811F82" w:rsidP="00811F82">
            <w:pPr>
              <w:jc w:val="center"/>
              <w:rPr>
                <w:sz w:val="24"/>
                <w:szCs w:val="24"/>
              </w:rPr>
            </w:pPr>
            <w:r w:rsidRPr="00001A19">
              <w:rPr>
                <w:sz w:val="24"/>
                <w:szCs w:val="24"/>
              </w:rPr>
              <w:t>100,3</w:t>
            </w:r>
          </w:p>
        </w:tc>
      </w:tr>
      <w:tr w:rsidR="00171F9D" w:rsidRPr="00001A19" w:rsidTr="008A11D3">
        <w:trPr>
          <w:trHeight w:val="63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001A19" w:rsidRDefault="00171F9D" w:rsidP="0013080B">
            <w:pPr>
              <w:rPr>
                <w:color w:val="000000"/>
                <w:sz w:val="24"/>
                <w:szCs w:val="24"/>
              </w:rPr>
            </w:pPr>
            <w:r w:rsidRPr="00001A19">
              <w:rPr>
                <w:color w:val="000000"/>
                <w:sz w:val="24"/>
                <w:szCs w:val="24"/>
              </w:rPr>
              <w:t xml:space="preserve">Объем производства кокса, нефтепродуктов,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001A19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001A19">
              <w:rPr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3A3B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001A19" w:rsidRDefault="00001A19" w:rsidP="00130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</w:tr>
      <w:tr w:rsidR="00171F9D" w:rsidRPr="00DC462B" w:rsidTr="008A11D3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</w:tr>
      <w:tr w:rsidR="00F605B1" w:rsidRPr="00DC462B" w:rsidTr="00F605B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B1" w:rsidRPr="00DC462B" w:rsidRDefault="00F605B1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Индекс-дефлятор продукции сельского хозяйства,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105,3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104,5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5B1" w:rsidRPr="00F605B1" w:rsidRDefault="00F605B1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104,2</w:t>
            </w:r>
          </w:p>
        </w:tc>
      </w:tr>
      <w:tr w:rsidR="004470E7" w:rsidRPr="00DC462B" w:rsidTr="00F605B1">
        <w:trPr>
          <w:trHeight w:val="63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E7" w:rsidRPr="00DC462B" w:rsidRDefault="004470E7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 производства продукции сельского хозяйства,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100,4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101,3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103,2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101,5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101,6</w:t>
            </w:r>
          </w:p>
        </w:tc>
      </w:tr>
      <w:tr w:rsidR="004470E7" w:rsidRPr="00DC462B" w:rsidTr="00F605B1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E7" w:rsidRPr="00DC462B" w:rsidRDefault="004470E7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lastRenderedPageBreak/>
              <w:t xml:space="preserve">Объем продукции сельского хозяйства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105,8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106,1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0E7" w:rsidRPr="00F605B1" w:rsidRDefault="004470E7" w:rsidP="00F605B1">
            <w:pPr>
              <w:jc w:val="center"/>
              <w:rPr>
                <w:sz w:val="24"/>
                <w:szCs w:val="24"/>
              </w:rPr>
            </w:pPr>
            <w:r w:rsidRPr="00F605B1">
              <w:rPr>
                <w:sz w:val="24"/>
                <w:szCs w:val="24"/>
              </w:rPr>
              <w:t>106,1</w:t>
            </w:r>
          </w:p>
        </w:tc>
      </w:tr>
      <w:tr w:rsidR="00171F9D" w:rsidRPr="00DC462B" w:rsidTr="008A11D3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9D" w:rsidRPr="00DC462B" w:rsidRDefault="00171F9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9D" w:rsidRPr="00DC462B" w:rsidRDefault="00171F9D" w:rsidP="0013080B">
            <w:pPr>
              <w:jc w:val="center"/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F9D" w:rsidRPr="00DC462B" w:rsidRDefault="00171F9D" w:rsidP="0013080B">
            <w:pPr>
              <w:jc w:val="center"/>
              <w:rPr>
                <w:sz w:val="24"/>
                <w:szCs w:val="24"/>
              </w:rPr>
            </w:pPr>
            <w:r w:rsidRPr="00DC462B">
              <w:rPr>
                <w:sz w:val="24"/>
                <w:szCs w:val="24"/>
              </w:rPr>
              <w:t> </w:t>
            </w:r>
          </w:p>
        </w:tc>
      </w:tr>
      <w:tr w:rsidR="000F4E25" w:rsidRPr="00DC462B" w:rsidTr="000F4E25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25" w:rsidRPr="00DC462B" w:rsidRDefault="000F4E25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Индекс-дефлятор по платным услугам,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106,1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104,5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104</w:t>
            </w:r>
          </w:p>
        </w:tc>
      </w:tr>
      <w:tr w:rsidR="000F4E25" w:rsidRPr="00DC462B" w:rsidTr="000F4E25">
        <w:trPr>
          <w:trHeight w:val="63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25" w:rsidRPr="00DC462B" w:rsidRDefault="000F4E25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Индекс физического объема платных услуг,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102,3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102,3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102,3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102,8</w:t>
            </w:r>
          </w:p>
        </w:tc>
      </w:tr>
      <w:tr w:rsidR="000F4E25" w:rsidRPr="00DC462B" w:rsidTr="000F4E25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25" w:rsidRPr="00DC462B" w:rsidRDefault="000F4E25" w:rsidP="0013080B">
            <w:pPr>
              <w:rPr>
                <w:color w:val="000000"/>
                <w:sz w:val="24"/>
                <w:szCs w:val="24"/>
              </w:rPr>
            </w:pPr>
            <w:r w:rsidRPr="00DC462B">
              <w:rPr>
                <w:color w:val="000000"/>
                <w:sz w:val="24"/>
                <w:szCs w:val="24"/>
              </w:rPr>
              <w:t xml:space="preserve">Объем платных услуг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108,5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107,4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25" w:rsidRPr="000F4E25" w:rsidRDefault="000F4E25" w:rsidP="000F4E25">
            <w:pPr>
              <w:jc w:val="center"/>
              <w:rPr>
                <w:sz w:val="24"/>
                <w:szCs w:val="24"/>
              </w:rPr>
            </w:pPr>
            <w:r w:rsidRPr="000F4E25">
              <w:rPr>
                <w:sz w:val="24"/>
                <w:szCs w:val="24"/>
              </w:rPr>
              <w:t>106,9</w:t>
            </w:r>
          </w:p>
        </w:tc>
      </w:tr>
      <w:tr w:rsidR="002D305D" w:rsidRPr="00EA193C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Индекс потребительских цен, декабрь к декабрю предыдущего года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</w:tr>
      <w:tr w:rsidR="002D305D" w:rsidRPr="00EA193C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Индекс потребительских цен, в среднем за год,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105,7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104,0</w:t>
            </w:r>
          </w:p>
        </w:tc>
      </w:tr>
      <w:tr w:rsidR="002D305D" w:rsidRPr="00EA193C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Темп роста фонда заработной платы,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111,2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108,7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jc w:val="center"/>
              <w:rPr>
                <w:b/>
                <w:sz w:val="24"/>
                <w:szCs w:val="24"/>
              </w:rPr>
            </w:pPr>
            <w:r w:rsidRPr="00EA193C">
              <w:rPr>
                <w:b/>
                <w:sz w:val="24"/>
                <w:szCs w:val="24"/>
              </w:rPr>
              <w:t>107,6</w:t>
            </w:r>
          </w:p>
        </w:tc>
      </w:tr>
      <w:tr w:rsidR="002D305D" w:rsidRPr="00EA193C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Темп роста амортизационных отчислений,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110,9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111,1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110,3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110,6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109,9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  <w:rPr>
                <w:b/>
              </w:rPr>
            </w:pPr>
            <w:r w:rsidRPr="00EA193C">
              <w:rPr>
                <w:b/>
                <w:bCs/>
              </w:rPr>
              <w:t>110,2</w:t>
            </w:r>
          </w:p>
        </w:tc>
      </w:tr>
      <w:tr w:rsidR="002D305D" w:rsidRPr="00EA193C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Темп роста прибыли прибыльных организаций,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C462B">
              <w:rPr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DC462B">
              <w:rPr>
                <w:b/>
                <w:bCs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EA193C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107,9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109,</w:t>
            </w:r>
            <w:r w:rsidR="00EA193C" w:rsidRPr="00EA193C">
              <w:rPr>
                <w:b/>
                <w:bCs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107,4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EA193C" w:rsidRDefault="002D305D" w:rsidP="00EA193C">
            <w:pPr>
              <w:pStyle w:val="Default"/>
              <w:jc w:val="center"/>
            </w:pPr>
            <w:r w:rsidRPr="00EA193C">
              <w:rPr>
                <w:b/>
                <w:bCs/>
              </w:rPr>
              <w:t>108,8</w:t>
            </w:r>
          </w:p>
        </w:tc>
      </w:tr>
      <w:tr w:rsidR="002D305D" w:rsidRPr="00DC462B" w:rsidTr="00EA193C">
        <w:trPr>
          <w:trHeight w:val="360"/>
          <w:jc w:val="center"/>
        </w:trPr>
        <w:tc>
          <w:tcPr>
            <w:tcW w:w="6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5D" w:rsidRPr="00DC462B" w:rsidRDefault="002D305D" w:rsidP="0013080B">
            <w:pPr>
              <w:rPr>
                <w:bCs/>
                <w:color w:val="000000"/>
                <w:sz w:val="24"/>
                <w:szCs w:val="24"/>
              </w:rPr>
            </w:pPr>
            <w:r w:rsidRPr="00DC462B">
              <w:rPr>
                <w:bCs/>
                <w:color w:val="000000"/>
                <w:sz w:val="24"/>
                <w:szCs w:val="24"/>
              </w:rPr>
              <w:t xml:space="preserve">Темп роста численности </w:t>
            </w:r>
            <w:proofErr w:type="gramStart"/>
            <w:r w:rsidRPr="00DC462B">
              <w:rPr>
                <w:bCs/>
                <w:color w:val="000000"/>
                <w:sz w:val="24"/>
                <w:szCs w:val="24"/>
              </w:rPr>
              <w:t>занятых</w:t>
            </w:r>
            <w:proofErr w:type="gramEnd"/>
            <w:r w:rsidRPr="00DC462B">
              <w:rPr>
                <w:bCs/>
                <w:color w:val="000000"/>
                <w:sz w:val="24"/>
                <w:szCs w:val="24"/>
              </w:rPr>
              <w:t xml:space="preserve"> в экономике, в % к предыдущему году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D44478" w:rsidRDefault="002D305D" w:rsidP="00EA193C">
            <w:pPr>
              <w:jc w:val="center"/>
            </w:pPr>
            <w:r w:rsidRPr="00D44478">
              <w:t>100,8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D44478" w:rsidRDefault="002D305D" w:rsidP="00EA193C">
            <w:pPr>
              <w:jc w:val="center"/>
            </w:pPr>
            <w:r w:rsidRPr="00D44478">
              <w:t>100,9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D44478" w:rsidRDefault="002D305D" w:rsidP="00EA193C">
            <w:pPr>
              <w:jc w:val="center"/>
            </w:pPr>
            <w:r w:rsidRPr="00D44478">
              <w:t>101,1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D44478" w:rsidRDefault="002D305D" w:rsidP="00EA193C">
            <w:pPr>
              <w:jc w:val="center"/>
            </w:pPr>
            <w:r w:rsidRPr="00D44478">
              <w:t>102,2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Pr="00D44478" w:rsidRDefault="002D305D" w:rsidP="00EA193C">
            <w:pPr>
              <w:jc w:val="center"/>
            </w:pPr>
            <w:r w:rsidRPr="00D44478">
              <w:t>99,9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05D" w:rsidRDefault="002D305D" w:rsidP="00EA193C">
            <w:pPr>
              <w:jc w:val="center"/>
            </w:pPr>
            <w:r w:rsidRPr="00D44478">
              <w:t>99,9</w:t>
            </w:r>
          </w:p>
        </w:tc>
      </w:tr>
    </w:tbl>
    <w:p w:rsidR="00E17AC5" w:rsidRDefault="00E17AC5" w:rsidP="00171F9D">
      <w:pPr>
        <w:jc w:val="center"/>
        <w:rPr>
          <w:color w:val="FF0000"/>
        </w:rPr>
      </w:pPr>
    </w:p>
    <w:sectPr w:rsidR="00E17AC5" w:rsidSect="002408D6">
      <w:pgSz w:w="16838" w:h="11906" w:orient="landscape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13" w:rsidRDefault="003E1B13" w:rsidP="00F27B1A">
      <w:r>
        <w:separator/>
      </w:r>
    </w:p>
  </w:endnote>
  <w:endnote w:type="continuationSeparator" w:id="0">
    <w:p w:rsidR="003E1B13" w:rsidRDefault="003E1B13" w:rsidP="00F2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13" w:rsidRDefault="003E1B13" w:rsidP="00F27B1A">
      <w:r>
        <w:separator/>
      </w:r>
    </w:p>
  </w:footnote>
  <w:footnote w:type="continuationSeparator" w:id="0">
    <w:p w:rsidR="003E1B13" w:rsidRDefault="003E1B13" w:rsidP="00F27B1A">
      <w:r>
        <w:continuationSeparator/>
      </w:r>
    </w:p>
  </w:footnote>
  <w:footnote w:id="1">
    <w:p w:rsidR="001D511D" w:rsidRPr="00496C75" w:rsidRDefault="001D511D" w:rsidP="00351C78">
      <w:pPr>
        <w:pStyle w:val="ac"/>
        <w:jc w:val="both"/>
      </w:pPr>
      <w:r w:rsidRPr="00496C75">
        <w:rPr>
          <w:rStyle w:val="ae"/>
        </w:rPr>
        <w:footnoteRef/>
      </w:r>
      <w:r w:rsidRPr="00496C75">
        <w:t xml:space="preserve"> </w:t>
      </w:r>
      <w:r>
        <w:t xml:space="preserve">Правительством России принято решение о временном приостановлении предоставления и распространения информации в отношении отдельных показателей демографической статистики в соответствии с ч.10 ст.5 Федерального закона от 29.11.2007 №282-ФЗ «Об официальном статистическом учете и системе государственной статистики в Российской Федерации», в </w:t>
      </w:r>
      <w:proofErr w:type="gramStart"/>
      <w:r>
        <w:t>связи</w:t>
      </w:r>
      <w:proofErr w:type="gramEnd"/>
      <w:r>
        <w:t xml:space="preserve"> с чем </w:t>
      </w:r>
      <w:r w:rsidRPr="00496C75">
        <w:rPr>
          <w:bCs/>
        </w:rPr>
        <w:t xml:space="preserve">данные о численности родившихся и умерших, естественном и миграционном приросте населения с мая 2025 года не подлежат распространению и </w:t>
      </w:r>
      <w:proofErr w:type="gramStart"/>
      <w:r w:rsidRPr="00496C75">
        <w:rPr>
          <w:bCs/>
        </w:rPr>
        <w:t>запрещены</w:t>
      </w:r>
      <w:proofErr w:type="gramEnd"/>
      <w:r w:rsidRPr="00496C75">
        <w:rPr>
          <w:bCs/>
        </w:rPr>
        <w:t xml:space="preserve"> к опубликованию</w:t>
      </w:r>
      <w:r>
        <w:rPr>
          <w:bCs/>
        </w:rPr>
        <w:t xml:space="preserve"> (письмо </w:t>
      </w:r>
      <w:proofErr w:type="spellStart"/>
      <w:r>
        <w:rPr>
          <w:bCs/>
        </w:rPr>
        <w:t>Петростата</w:t>
      </w:r>
      <w:proofErr w:type="spellEnd"/>
      <w:r>
        <w:rPr>
          <w:bCs/>
        </w:rPr>
        <w:t xml:space="preserve"> от 30.06.2025 № ВС-Т65-140/808-ИС)</w:t>
      </w:r>
      <w:r w:rsidRPr="00496C75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8952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D511D" w:rsidRPr="00F27B1A" w:rsidRDefault="001D511D">
        <w:pPr>
          <w:pStyle w:val="a6"/>
          <w:jc w:val="center"/>
          <w:rPr>
            <w:sz w:val="24"/>
            <w:szCs w:val="24"/>
          </w:rPr>
        </w:pPr>
        <w:r w:rsidRPr="00F27B1A">
          <w:rPr>
            <w:sz w:val="24"/>
            <w:szCs w:val="24"/>
          </w:rPr>
          <w:fldChar w:fldCharType="begin"/>
        </w:r>
        <w:r w:rsidRPr="00F27B1A">
          <w:rPr>
            <w:sz w:val="24"/>
            <w:szCs w:val="24"/>
          </w:rPr>
          <w:instrText>PAGE   \* MERGEFORMAT</w:instrText>
        </w:r>
        <w:r w:rsidRPr="00F27B1A">
          <w:rPr>
            <w:sz w:val="24"/>
            <w:szCs w:val="24"/>
          </w:rPr>
          <w:fldChar w:fldCharType="separate"/>
        </w:r>
        <w:r w:rsidR="00BD3492">
          <w:rPr>
            <w:noProof/>
            <w:sz w:val="24"/>
            <w:szCs w:val="24"/>
          </w:rPr>
          <w:t>12</w:t>
        </w:r>
        <w:r w:rsidRPr="00F27B1A">
          <w:rPr>
            <w:sz w:val="24"/>
            <w:szCs w:val="24"/>
          </w:rPr>
          <w:fldChar w:fldCharType="end"/>
        </w:r>
      </w:p>
    </w:sdtContent>
  </w:sdt>
  <w:p w:rsidR="001D511D" w:rsidRDefault="001D51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4FB8"/>
    <w:multiLevelType w:val="hybridMultilevel"/>
    <w:tmpl w:val="14BA6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33015E"/>
    <w:multiLevelType w:val="hybridMultilevel"/>
    <w:tmpl w:val="2708C20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9B358F8"/>
    <w:multiLevelType w:val="hybridMultilevel"/>
    <w:tmpl w:val="C2D86C5A"/>
    <w:lvl w:ilvl="0" w:tplc="812E4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2"/>
    <w:rsid w:val="00001A19"/>
    <w:rsid w:val="00006F19"/>
    <w:rsid w:val="00017C84"/>
    <w:rsid w:val="00035F78"/>
    <w:rsid w:val="00036A6E"/>
    <w:rsid w:val="00037A7B"/>
    <w:rsid w:val="0004192C"/>
    <w:rsid w:val="00050666"/>
    <w:rsid w:val="000519B7"/>
    <w:rsid w:val="0005592F"/>
    <w:rsid w:val="00056B38"/>
    <w:rsid w:val="00063628"/>
    <w:rsid w:val="00071F4D"/>
    <w:rsid w:val="00076410"/>
    <w:rsid w:val="00080AAA"/>
    <w:rsid w:val="0008231F"/>
    <w:rsid w:val="000921FC"/>
    <w:rsid w:val="000A78EA"/>
    <w:rsid w:val="000E2963"/>
    <w:rsid w:val="000E29BC"/>
    <w:rsid w:val="000F4E25"/>
    <w:rsid w:val="00120EB5"/>
    <w:rsid w:val="0012320C"/>
    <w:rsid w:val="0013080B"/>
    <w:rsid w:val="00133A08"/>
    <w:rsid w:val="00137E99"/>
    <w:rsid w:val="00141710"/>
    <w:rsid w:val="00141A01"/>
    <w:rsid w:val="00143570"/>
    <w:rsid w:val="001571A1"/>
    <w:rsid w:val="001636D9"/>
    <w:rsid w:val="00171F9D"/>
    <w:rsid w:val="001739EA"/>
    <w:rsid w:val="00182999"/>
    <w:rsid w:val="001954EE"/>
    <w:rsid w:val="001A662B"/>
    <w:rsid w:val="001B3F85"/>
    <w:rsid w:val="001B70AD"/>
    <w:rsid w:val="001C6372"/>
    <w:rsid w:val="001D511D"/>
    <w:rsid w:val="001F0EEB"/>
    <w:rsid w:val="001F278A"/>
    <w:rsid w:val="001F5BE7"/>
    <w:rsid w:val="0021191D"/>
    <w:rsid w:val="00212538"/>
    <w:rsid w:val="00233937"/>
    <w:rsid w:val="00236B5C"/>
    <w:rsid w:val="002408D6"/>
    <w:rsid w:val="0024474C"/>
    <w:rsid w:val="00250F22"/>
    <w:rsid w:val="002552CA"/>
    <w:rsid w:val="00255EA2"/>
    <w:rsid w:val="00264934"/>
    <w:rsid w:val="00281163"/>
    <w:rsid w:val="00290453"/>
    <w:rsid w:val="002A1BE8"/>
    <w:rsid w:val="002C6630"/>
    <w:rsid w:val="002D305D"/>
    <w:rsid w:val="002D68A6"/>
    <w:rsid w:val="00301522"/>
    <w:rsid w:val="00315B8E"/>
    <w:rsid w:val="003262AE"/>
    <w:rsid w:val="003271E8"/>
    <w:rsid w:val="00351C78"/>
    <w:rsid w:val="0037646C"/>
    <w:rsid w:val="0038540A"/>
    <w:rsid w:val="003A0B2A"/>
    <w:rsid w:val="003A1B20"/>
    <w:rsid w:val="003A3B06"/>
    <w:rsid w:val="003A4AFD"/>
    <w:rsid w:val="003A5CF1"/>
    <w:rsid w:val="003A65BD"/>
    <w:rsid w:val="003C5153"/>
    <w:rsid w:val="003E18F8"/>
    <w:rsid w:val="003E1B13"/>
    <w:rsid w:val="003E58DD"/>
    <w:rsid w:val="004006A4"/>
    <w:rsid w:val="00404EA0"/>
    <w:rsid w:val="00413D88"/>
    <w:rsid w:val="004143A7"/>
    <w:rsid w:val="00433A0E"/>
    <w:rsid w:val="0044079D"/>
    <w:rsid w:val="004407D5"/>
    <w:rsid w:val="00443FCB"/>
    <w:rsid w:val="00444D23"/>
    <w:rsid w:val="004454F1"/>
    <w:rsid w:val="00446CA3"/>
    <w:rsid w:val="004470E7"/>
    <w:rsid w:val="0044748E"/>
    <w:rsid w:val="004551BE"/>
    <w:rsid w:val="00472FDA"/>
    <w:rsid w:val="004761FA"/>
    <w:rsid w:val="0048471A"/>
    <w:rsid w:val="00495DFD"/>
    <w:rsid w:val="004A1082"/>
    <w:rsid w:val="004A3073"/>
    <w:rsid w:val="004B106B"/>
    <w:rsid w:val="004B188E"/>
    <w:rsid w:val="004C4785"/>
    <w:rsid w:val="004D4185"/>
    <w:rsid w:val="004E1AB7"/>
    <w:rsid w:val="004E7CBB"/>
    <w:rsid w:val="00505128"/>
    <w:rsid w:val="00505235"/>
    <w:rsid w:val="00555BC5"/>
    <w:rsid w:val="00574455"/>
    <w:rsid w:val="00576093"/>
    <w:rsid w:val="005831C5"/>
    <w:rsid w:val="00590078"/>
    <w:rsid w:val="00596978"/>
    <w:rsid w:val="005A0433"/>
    <w:rsid w:val="005B7489"/>
    <w:rsid w:val="005C20FA"/>
    <w:rsid w:val="005C42A1"/>
    <w:rsid w:val="005D1653"/>
    <w:rsid w:val="005D55B8"/>
    <w:rsid w:val="005E0FDD"/>
    <w:rsid w:val="005E1084"/>
    <w:rsid w:val="005E113E"/>
    <w:rsid w:val="005F0282"/>
    <w:rsid w:val="00605B69"/>
    <w:rsid w:val="0060655B"/>
    <w:rsid w:val="006075B1"/>
    <w:rsid w:val="00637FB2"/>
    <w:rsid w:val="00653671"/>
    <w:rsid w:val="00680B9D"/>
    <w:rsid w:val="00682ADC"/>
    <w:rsid w:val="00682C97"/>
    <w:rsid w:val="00695377"/>
    <w:rsid w:val="006A0BEF"/>
    <w:rsid w:val="006C0FDD"/>
    <w:rsid w:val="006F099D"/>
    <w:rsid w:val="006F1C28"/>
    <w:rsid w:val="006F3550"/>
    <w:rsid w:val="007021BE"/>
    <w:rsid w:val="007308AA"/>
    <w:rsid w:val="00740C0E"/>
    <w:rsid w:val="0074768F"/>
    <w:rsid w:val="007628BF"/>
    <w:rsid w:val="007815CF"/>
    <w:rsid w:val="007839FF"/>
    <w:rsid w:val="007976B0"/>
    <w:rsid w:val="007A1990"/>
    <w:rsid w:val="007A2ADE"/>
    <w:rsid w:val="007A61F0"/>
    <w:rsid w:val="007A6561"/>
    <w:rsid w:val="007B5D42"/>
    <w:rsid w:val="007B7750"/>
    <w:rsid w:val="007C69A1"/>
    <w:rsid w:val="007E2D5C"/>
    <w:rsid w:val="007E3988"/>
    <w:rsid w:val="007E46DD"/>
    <w:rsid w:val="007E75CA"/>
    <w:rsid w:val="00805395"/>
    <w:rsid w:val="00811F82"/>
    <w:rsid w:val="00815CB1"/>
    <w:rsid w:val="008302DC"/>
    <w:rsid w:val="008527F5"/>
    <w:rsid w:val="00864530"/>
    <w:rsid w:val="00871889"/>
    <w:rsid w:val="00871D76"/>
    <w:rsid w:val="00875BED"/>
    <w:rsid w:val="0089439A"/>
    <w:rsid w:val="008A11D3"/>
    <w:rsid w:val="008A4D25"/>
    <w:rsid w:val="008A61A1"/>
    <w:rsid w:val="008C4023"/>
    <w:rsid w:val="008C69AA"/>
    <w:rsid w:val="008D41C1"/>
    <w:rsid w:val="008E029E"/>
    <w:rsid w:val="008E2211"/>
    <w:rsid w:val="008E27EF"/>
    <w:rsid w:val="008E4839"/>
    <w:rsid w:val="008F054A"/>
    <w:rsid w:val="008F473A"/>
    <w:rsid w:val="009005C2"/>
    <w:rsid w:val="00910F2E"/>
    <w:rsid w:val="009145DA"/>
    <w:rsid w:val="00917777"/>
    <w:rsid w:val="009313B6"/>
    <w:rsid w:val="009336B5"/>
    <w:rsid w:val="00937902"/>
    <w:rsid w:val="009409FD"/>
    <w:rsid w:val="009905A5"/>
    <w:rsid w:val="009C13F1"/>
    <w:rsid w:val="009C1BDA"/>
    <w:rsid w:val="009C45AF"/>
    <w:rsid w:val="009D67D2"/>
    <w:rsid w:val="009D7AC6"/>
    <w:rsid w:val="009E0F47"/>
    <w:rsid w:val="009E2135"/>
    <w:rsid w:val="009E33C8"/>
    <w:rsid w:val="009E646B"/>
    <w:rsid w:val="009F3925"/>
    <w:rsid w:val="00A03DA2"/>
    <w:rsid w:val="00A1029E"/>
    <w:rsid w:val="00A22D1C"/>
    <w:rsid w:val="00A23831"/>
    <w:rsid w:val="00A66BC0"/>
    <w:rsid w:val="00A671D9"/>
    <w:rsid w:val="00A76C4A"/>
    <w:rsid w:val="00A80E82"/>
    <w:rsid w:val="00A93E7D"/>
    <w:rsid w:val="00AB26E2"/>
    <w:rsid w:val="00AD57B0"/>
    <w:rsid w:val="00AE6B0D"/>
    <w:rsid w:val="00B37852"/>
    <w:rsid w:val="00B476E2"/>
    <w:rsid w:val="00B47EF8"/>
    <w:rsid w:val="00B53D59"/>
    <w:rsid w:val="00B54E81"/>
    <w:rsid w:val="00B56EDE"/>
    <w:rsid w:val="00B63EF6"/>
    <w:rsid w:val="00B65516"/>
    <w:rsid w:val="00B67706"/>
    <w:rsid w:val="00B71D92"/>
    <w:rsid w:val="00B728EF"/>
    <w:rsid w:val="00B74DC2"/>
    <w:rsid w:val="00BB394D"/>
    <w:rsid w:val="00BC6F0F"/>
    <w:rsid w:val="00BD1575"/>
    <w:rsid w:val="00BD3492"/>
    <w:rsid w:val="00BD4836"/>
    <w:rsid w:val="00BF4626"/>
    <w:rsid w:val="00C0148E"/>
    <w:rsid w:val="00C05D6C"/>
    <w:rsid w:val="00C0790B"/>
    <w:rsid w:val="00C574C3"/>
    <w:rsid w:val="00C72967"/>
    <w:rsid w:val="00C9578E"/>
    <w:rsid w:val="00CC0099"/>
    <w:rsid w:val="00CD5122"/>
    <w:rsid w:val="00CE2DF3"/>
    <w:rsid w:val="00CE2EF6"/>
    <w:rsid w:val="00D01988"/>
    <w:rsid w:val="00D04532"/>
    <w:rsid w:val="00D264B0"/>
    <w:rsid w:val="00D27BDD"/>
    <w:rsid w:val="00D33676"/>
    <w:rsid w:val="00D361BB"/>
    <w:rsid w:val="00D4033A"/>
    <w:rsid w:val="00D65660"/>
    <w:rsid w:val="00D707C3"/>
    <w:rsid w:val="00D85C7E"/>
    <w:rsid w:val="00D87CFD"/>
    <w:rsid w:val="00D9148E"/>
    <w:rsid w:val="00D9532E"/>
    <w:rsid w:val="00DA1523"/>
    <w:rsid w:val="00DA48CD"/>
    <w:rsid w:val="00DA4ED3"/>
    <w:rsid w:val="00DA6944"/>
    <w:rsid w:val="00DB0415"/>
    <w:rsid w:val="00DB450E"/>
    <w:rsid w:val="00DD56AB"/>
    <w:rsid w:val="00DD59E0"/>
    <w:rsid w:val="00E11602"/>
    <w:rsid w:val="00E17AC5"/>
    <w:rsid w:val="00E3197E"/>
    <w:rsid w:val="00E507E1"/>
    <w:rsid w:val="00E61731"/>
    <w:rsid w:val="00E7298F"/>
    <w:rsid w:val="00E72CC8"/>
    <w:rsid w:val="00E75273"/>
    <w:rsid w:val="00E76C32"/>
    <w:rsid w:val="00E914A5"/>
    <w:rsid w:val="00E9510E"/>
    <w:rsid w:val="00EA193C"/>
    <w:rsid w:val="00EA619F"/>
    <w:rsid w:val="00EB4222"/>
    <w:rsid w:val="00EB4E97"/>
    <w:rsid w:val="00EC6CC9"/>
    <w:rsid w:val="00ED6F94"/>
    <w:rsid w:val="00F01F5C"/>
    <w:rsid w:val="00F04D09"/>
    <w:rsid w:val="00F222C4"/>
    <w:rsid w:val="00F27B1A"/>
    <w:rsid w:val="00F5317B"/>
    <w:rsid w:val="00F544DF"/>
    <w:rsid w:val="00F605B1"/>
    <w:rsid w:val="00F60C5B"/>
    <w:rsid w:val="00F72BD4"/>
    <w:rsid w:val="00F75970"/>
    <w:rsid w:val="00F81E6B"/>
    <w:rsid w:val="00F92D75"/>
    <w:rsid w:val="00F96847"/>
    <w:rsid w:val="00FA3233"/>
    <w:rsid w:val="00FA3664"/>
    <w:rsid w:val="00FC33E7"/>
    <w:rsid w:val="00FE03CB"/>
    <w:rsid w:val="00FE1406"/>
    <w:rsid w:val="00FE448B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075B1"/>
    <w:pPr>
      <w:keepNext/>
      <w:tabs>
        <w:tab w:val="left" w:pos="3119"/>
      </w:tabs>
      <w:ind w:left="354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37FB2"/>
    <w:pPr>
      <w:tabs>
        <w:tab w:val="left" w:pos="1418"/>
      </w:tabs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37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 +14"/>
    <w:basedOn w:val="a"/>
    <w:rsid w:val="00637FB2"/>
    <w:pPr>
      <w:ind w:firstLine="709"/>
      <w:jc w:val="both"/>
    </w:pPr>
    <w:rPr>
      <w:sz w:val="28"/>
    </w:rPr>
  </w:style>
  <w:style w:type="paragraph" w:customStyle="1" w:styleId="24">
    <w:name w:val="Основной текст 24"/>
    <w:basedOn w:val="a"/>
    <w:qFormat/>
    <w:rsid w:val="00637FB2"/>
    <w:pPr>
      <w:widowControl w:val="0"/>
      <w:spacing w:after="60"/>
      <w:ind w:firstLine="72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D85C7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075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607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075B1"/>
    <w:pPr>
      <w:spacing w:after="60"/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6075B1"/>
    <w:pPr>
      <w:spacing w:after="60"/>
      <w:ind w:firstLine="720"/>
      <w:jc w:val="both"/>
    </w:pPr>
    <w:rPr>
      <w:sz w:val="28"/>
    </w:rPr>
  </w:style>
  <w:style w:type="paragraph" w:styleId="a6">
    <w:name w:val="header"/>
    <w:aliases w:val="ВерхКолонтитул"/>
    <w:basedOn w:val="a"/>
    <w:link w:val="a7"/>
    <w:uiPriority w:val="99"/>
    <w:rsid w:val="007976B0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797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443FCB"/>
    <w:pPr>
      <w:spacing w:after="60"/>
      <w:ind w:firstLine="720"/>
      <w:jc w:val="both"/>
    </w:pPr>
    <w:rPr>
      <w:sz w:val="28"/>
    </w:rPr>
  </w:style>
  <w:style w:type="paragraph" w:styleId="a8">
    <w:name w:val="footer"/>
    <w:basedOn w:val="a"/>
    <w:link w:val="a9"/>
    <w:uiPriority w:val="99"/>
    <w:unhideWhenUsed/>
    <w:rsid w:val="00F27B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7B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C515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C51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 Знак Знак"/>
    <w:basedOn w:val="a"/>
    <w:rsid w:val="00AE6B0D"/>
    <w:pPr>
      <w:ind w:firstLine="709"/>
      <w:jc w:val="both"/>
    </w:pPr>
    <w:rPr>
      <w:sz w:val="28"/>
    </w:rPr>
  </w:style>
  <w:style w:type="paragraph" w:customStyle="1" w:styleId="Default">
    <w:name w:val="Default"/>
    <w:rsid w:val="00143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6F1C28"/>
  </w:style>
  <w:style w:type="character" w:customStyle="1" w:styleId="ad">
    <w:name w:val="Текст сноски Знак"/>
    <w:basedOn w:val="a0"/>
    <w:link w:val="ac"/>
    <w:uiPriority w:val="99"/>
    <w:semiHidden/>
    <w:rsid w:val="006F1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qFormat/>
    <w:rsid w:val="006F1C28"/>
    <w:rPr>
      <w:vertAlign w:val="superscript"/>
    </w:rPr>
  </w:style>
  <w:style w:type="paragraph" w:styleId="af">
    <w:name w:val="Title"/>
    <w:basedOn w:val="a"/>
    <w:link w:val="af0"/>
    <w:qFormat/>
    <w:rsid w:val="00056B38"/>
    <w:pPr>
      <w:spacing w:after="200" w:line="276" w:lineRule="auto"/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56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1">
    <w:name w:val="annotation reference"/>
    <w:uiPriority w:val="99"/>
    <w:unhideWhenUsed/>
    <w:rsid w:val="005D165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075B1"/>
    <w:pPr>
      <w:keepNext/>
      <w:tabs>
        <w:tab w:val="left" w:pos="3119"/>
      </w:tabs>
      <w:ind w:left="354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37FB2"/>
    <w:pPr>
      <w:tabs>
        <w:tab w:val="left" w:pos="1418"/>
      </w:tabs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37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 +14"/>
    <w:basedOn w:val="a"/>
    <w:rsid w:val="00637FB2"/>
    <w:pPr>
      <w:ind w:firstLine="709"/>
      <w:jc w:val="both"/>
    </w:pPr>
    <w:rPr>
      <w:sz w:val="28"/>
    </w:rPr>
  </w:style>
  <w:style w:type="paragraph" w:customStyle="1" w:styleId="24">
    <w:name w:val="Основной текст 24"/>
    <w:basedOn w:val="a"/>
    <w:qFormat/>
    <w:rsid w:val="00637FB2"/>
    <w:pPr>
      <w:widowControl w:val="0"/>
      <w:spacing w:after="60"/>
      <w:ind w:firstLine="72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D85C7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075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607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075B1"/>
    <w:pPr>
      <w:spacing w:after="60"/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6075B1"/>
    <w:pPr>
      <w:spacing w:after="60"/>
      <w:ind w:firstLine="720"/>
      <w:jc w:val="both"/>
    </w:pPr>
    <w:rPr>
      <w:sz w:val="28"/>
    </w:rPr>
  </w:style>
  <w:style w:type="paragraph" w:styleId="a6">
    <w:name w:val="header"/>
    <w:aliases w:val="ВерхКолонтитул"/>
    <w:basedOn w:val="a"/>
    <w:link w:val="a7"/>
    <w:uiPriority w:val="99"/>
    <w:rsid w:val="007976B0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797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443FCB"/>
    <w:pPr>
      <w:spacing w:after="60"/>
      <w:ind w:firstLine="720"/>
      <w:jc w:val="both"/>
    </w:pPr>
    <w:rPr>
      <w:sz w:val="28"/>
    </w:rPr>
  </w:style>
  <w:style w:type="paragraph" w:styleId="a8">
    <w:name w:val="footer"/>
    <w:basedOn w:val="a"/>
    <w:link w:val="a9"/>
    <w:uiPriority w:val="99"/>
    <w:unhideWhenUsed/>
    <w:rsid w:val="00F27B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7B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C515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C51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 Знак Знак"/>
    <w:basedOn w:val="a"/>
    <w:rsid w:val="00AE6B0D"/>
    <w:pPr>
      <w:ind w:firstLine="709"/>
      <w:jc w:val="both"/>
    </w:pPr>
    <w:rPr>
      <w:sz w:val="28"/>
    </w:rPr>
  </w:style>
  <w:style w:type="paragraph" w:customStyle="1" w:styleId="Default">
    <w:name w:val="Default"/>
    <w:rsid w:val="00143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6F1C28"/>
  </w:style>
  <w:style w:type="character" w:customStyle="1" w:styleId="ad">
    <w:name w:val="Текст сноски Знак"/>
    <w:basedOn w:val="a0"/>
    <w:link w:val="ac"/>
    <w:uiPriority w:val="99"/>
    <w:semiHidden/>
    <w:rsid w:val="006F1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qFormat/>
    <w:rsid w:val="006F1C28"/>
    <w:rPr>
      <w:vertAlign w:val="superscript"/>
    </w:rPr>
  </w:style>
  <w:style w:type="paragraph" w:styleId="af">
    <w:name w:val="Title"/>
    <w:basedOn w:val="a"/>
    <w:link w:val="af0"/>
    <w:qFormat/>
    <w:rsid w:val="00056B38"/>
    <w:pPr>
      <w:spacing w:after="200" w:line="276" w:lineRule="auto"/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56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1">
    <w:name w:val="annotation reference"/>
    <w:uiPriority w:val="99"/>
    <w:unhideWhenUsed/>
    <w:rsid w:val="005D16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F76D-EBDD-4F93-AAE3-09A6313D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Дмитриева</dc:creator>
  <cp:lastModifiedBy>Рыженкова Елена Николаевна</cp:lastModifiedBy>
  <cp:revision>3</cp:revision>
  <dcterms:created xsi:type="dcterms:W3CDTF">2025-08-22T12:23:00Z</dcterms:created>
  <dcterms:modified xsi:type="dcterms:W3CDTF">2025-08-22T12:29:00Z</dcterms:modified>
</cp:coreProperties>
</file>