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D0" w:rsidRDefault="00DB48D0" w:rsidP="00830E04">
      <w:pPr>
        <w:framePr w:wrap="none" w:vAnchor="page" w:hAnchor="page" w:x="3643" w:y="3715"/>
        <w:rPr>
          <w:sz w:val="2"/>
          <w:szCs w:val="2"/>
        </w:rPr>
      </w:pPr>
      <w:bookmarkStart w:id="0" w:name="_GoBack"/>
      <w:bookmarkEnd w:id="0"/>
    </w:p>
    <w:p w:rsidR="003958CC" w:rsidRPr="00653700" w:rsidRDefault="003958CC" w:rsidP="00830E04">
      <w:pPr>
        <w:pStyle w:val="10"/>
        <w:framePr w:w="4364" w:h="4735" w:hRule="exact" w:wrap="around" w:vAnchor="text" w:hAnchor="page" w:x="1134" w:y="-283" w:anchorLock="1"/>
        <w:shd w:val="clear" w:color="auto" w:fill="auto"/>
        <w:tabs>
          <w:tab w:val="left" w:pos="1985"/>
          <w:tab w:val="left" w:pos="2127"/>
        </w:tabs>
        <w:spacing w:before="0" w:after="0" w:line="240" w:lineRule="auto"/>
        <w:rPr>
          <w:rStyle w:val="11"/>
          <w:bCs/>
          <w:color w:val="0000FF"/>
          <w:sz w:val="24"/>
        </w:rPr>
      </w:pPr>
      <w:bookmarkStart w:id="1" w:name="bookmark0"/>
    </w:p>
    <w:p w:rsidR="003958CC" w:rsidRPr="00653700" w:rsidRDefault="003958CC" w:rsidP="00830E04">
      <w:pPr>
        <w:pStyle w:val="10"/>
        <w:framePr w:w="4364" w:h="4735" w:hRule="exact" w:wrap="around" w:vAnchor="text" w:hAnchor="page" w:x="1134" w:y="-283" w:anchorLock="1"/>
        <w:shd w:val="clear" w:color="auto" w:fill="auto"/>
        <w:tabs>
          <w:tab w:val="left" w:pos="1985"/>
        </w:tabs>
        <w:spacing w:before="0" w:after="0" w:line="240" w:lineRule="auto"/>
        <w:rPr>
          <w:rStyle w:val="11"/>
          <w:bCs/>
          <w:i/>
          <w:color w:val="0000FF"/>
          <w:sz w:val="24"/>
        </w:rPr>
      </w:pPr>
    </w:p>
    <w:p w:rsidR="003958CC" w:rsidRPr="00653700" w:rsidRDefault="003958CC" w:rsidP="00830E04">
      <w:pPr>
        <w:pStyle w:val="10"/>
        <w:framePr w:w="4364" w:h="4735" w:hRule="exact" w:wrap="around" w:vAnchor="text" w:hAnchor="page" w:x="1134" w:y="-283" w:anchorLock="1"/>
        <w:shd w:val="clear" w:color="auto" w:fill="auto"/>
        <w:tabs>
          <w:tab w:val="left" w:pos="1985"/>
        </w:tabs>
        <w:spacing w:before="0" w:after="0" w:line="240" w:lineRule="auto"/>
        <w:rPr>
          <w:rStyle w:val="11"/>
          <w:bCs/>
          <w:color w:val="0000FF"/>
          <w:sz w:val="24"/>
        </w:rPr>
      </w:pPr>
    </w:p>
    <w:p w:rsidR="003958CC" w:rsidRPr="00653700" w:rsidRDefault="003958CC" w:rsidP="00830E04">
      <w:pPr>
        <w:pStyle w:val="10"/>
        <w:framePr w:w="4364" w:h="4735" w:hRule="exact" w:wrap="around" w:vAnchor="text" w:hAnchor="page" w:x="1134" w:y="-283" w:anchorLock="1"/>
        <w:shd w:val="clear" w:color="auto" w:fill="auto"/>
        <w:tabs>
          <w:tab w:val="left" w:pos="1985"/>
        </w:tabs>
        <w:spacing w:before="0" w:after="0" w:line="240" w:lineRule="auto"/>
        <w:rPr>
          <w:rStyle w:val="11"/>
          <w:bCs/>
          <w:color w:val="0000FF"/>
          <w:sz w:val="24"/>
        </w:rPr>
      </w:pPr>
    </w:p>
    <w:p w:rsidR="003958CC" w:rsidRPr="00653700" w:rsidRDefault="003958CC" w:rsidP="00830E04">
      <w:pPr>
        <w:pStyle w:val="10"/>
        <w:framePr w:w="4364" w:h="4735" w:hRule="exact" w:wrap="around" w:vAnchor="text" w:hAnchor="page" w:x="1134" w:y="-283" w:anchorLock="1"/>
        <w:shd w:val="clear" w:color="auto" w:fill="auto"/>
        <w:tabs>
          <w:tab w:val="left" w:pos="1985"/>
        </w:tabs>
        <w:spacing w:before="0" w:after="0" w:line="240" w:lineRule="auto"/>
        <w:rPr>
          <w:rStyle w:val="11"/>
          <w:bCs/>
          <w:color w:val="0000FF"/>
          <w:sz w:val="24"/>
        </w:rPr>
      </w:pPr>
    </w:p>
    <w:bookmarkEnd w:id="1"/>
    <w:p w:rsidR="003958CC" w:rsidRPr="003E3098" w:rsidRDefault="003958CC" w:rsidP="00830E04">
      <w:pPr>
        <w:pStyle w:val="4"/>
        <w:framePr w:w="4364" w:h="4735" w:hRule="exact" w:wrap="around" w:vAnchor="text" w:hAnchor="page" w:x="1134" w:y="-283" w:anchorLock="1"/>
        <w:shd w:val="clear" w:color="auto" w:fill="auto"/>
        <w:tabs>
          <w:tab w:val="left" w:pos="1985"/>
          <w:tab w:val="right" w:leader="underscore" w:pos="2235"/>
          <w:tab w:val="left" w:leader="underscore" w:pos="3932"/>
        </w:tabs>
        <w:spacing w:before="0" w:after="0" w:line="240" w:lineRule="auto"/>
        <w:rPr>
          <w:color w:val="0000FF"/>
          <w:sz w:val="20"/>
        </w:rPr>
      </w:pPr>
    </w:p>
    <w:p w:rsidR="00DB48D0" w:rsidRDefault="00DB48D0" w:rsidP="00830E04">
      <w:pPr>
        <w:tabs>
          <w:tab w:val="left" w:pos="1843"/>
          <w:tab w:val="left" w:pos="1985"/>
        </w:tabs>
        <w:rPr>
          <w:sz w:val="2"/>
          <w:szCs w:val="2"/>
        </w:rPr>
      </w:pP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Главным распорядителям</w:t>
      </w: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бюджетных средств</w:t>
      </w: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областного бюджета</w:t>
      </w: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ind w:left="63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6A0349" w:rsidRDefault="006A0349" w:rsidP="00830E04">
      <w:pPr>
        <w:widowControl/>
        <w:ind w:right="58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формировании проекта областного бюджета Ленинградской области 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и на плановый период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</w:t>
      </w:r>
    </w:p>
    <w:p w:rsidR="006A0349" w:rsidRPr="00D348A2" w:rsidRDefault="006A0349" w:rsidP="00830E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D348A2" w:rsidRDefault="006A0349" w:rsidP="00830E0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Во исполнение пункта 2</w:t>
      </w:r>
      <w:r w:rsid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Плана-графика подготовки и рассмотрения проектов решений, документов и материалов, необходимых для составления проекта областного закона об областном бюджете Ленинградской области 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и на плановый период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годов, утвержденного распоряжением комитета финансов Ленинградской области от 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.05.202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06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18-03/02-4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План-график), </w:t>
      </w:r>
      <w:r w:rsidRPr="00D348A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рамках подготовки проекта областного закона "Об областном бюджете Ленинградской области 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и на плановый период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годов" (далее – Проект бюджета) комитет финансов Ленинградской области доводит общие (предельные) объемы бюджетных ассигнований на исполнение расходных обязательств в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и плановом периоде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 (далее - контрольные цифры):</w:t>
      </w:r>
    </w:p>
    <w:p w:rsidR="006A0349" w:rsidRPr="00D348A2" w:rsidRDefault="006A0349" w:rsidP="00830E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сумме                      тысяч рублей;</w:t>
      </w:r>
    </w:p>
    <w:p w:rsidR="006A0349" w:rsidRPr="00D348A2" w:rsidRDefault="006A0349" w:rsidP="00830E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сумме                      тысяч рублей;</w:t>
      </w:r>
    </w:p>
    <w:p w:rsidR="006A0349" w:rsidRPr="00D348A2" w:rsidRDefault="006A0349" w:rsidP="00830E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48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в сумме                      тысяч рублей.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6F1E6F" w:rsidRPr="006F1E6F" w:rsidRDefault="006F1E6F" w:rsidP="006F1E6F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F1E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контрольные цифры включены расходы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на реализацию проектов</w:t>
      </w:r>
      <w:r w:rsidRPr="006F1E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:</w:t>
      </w:r>
    </w:p>
    <w:p w:rsidR="006F1E6F" w:rsidRPr="006F1E6F" w:rsidRDefault="006F1E6F" w:rsidP="006F1E6F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F1E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1………………….</w:t>
      </w:r>
    </w:p>
    <w:p w:rsidR="006F1E6F" w:rsidRPr="006F1E6F" w:rsidRDefault="006F1E6F" w:rsidP="006F1E6F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F1E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2………………….</w:t>
      </w:r>
    </w:p>
    <w:p w:rsidR="006F1E6F" w:rsidRPr="006F1E6F" w:rsidRDefault="006F1E6F" w:rsidP="006F1E6F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F1E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3………………….</w:t>
      </w:r>
    </w:p>
    <w:p w:rsidR="006F1E6F" w:rsidRDefault="006F1E6F" w:rsidP="006F1E6F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F1E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……………………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В контрольные цифры включены расходы в рамках адресной инвестиционной программы Ленинградской области на следующие объекты: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1………………….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2………………….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3………………….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……………………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В контрольные цифры включены расходы на принимаемые обязательства по следующим мероприятиям: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1………………….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2………………….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3………………….</w:t>
      </w:r>
    </w:p>
    <w:p w:rsidR="004F6977" w:rsidRPr="00D348A2" w:rsidRDefault="004F6977" w:rsidP="004F697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348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……………………</w:t>
      </w:r>
    </w:p>
    <w:p w:rsidR="00B416DC" w:rsidRDefault="00B416DC" w:rsidP="00B416D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16DC" w:rsidRPr="00B416DC" w:rsidRDefault="00B416DC" w:rsidP="00B416D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контрольные цифры не включен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 расходы на создание, развитие </w:t>
      </w: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(или) модернизацию государственных информационных систем Ленинградской области. Бюджетные ассигнования на указанные цели зарезервированы в составе бюджетных ассигнований,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омитету финансов Ленинградской области.</w:t>
      </w:r>
    </w:p>
    <w:p w:rsidR="004F6977" w:rsidRDefault="00B416DC" w:rsidP="00B416D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Распределение зарезервированных бюджетных ассигнований будет осуществляться на основании решения Экспертной комиссии по рассмотрению заявок на создание, модернизацию и развитие государственных информационных систем Ленинградской области, принимаемого в порядке, установленном постановлением 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ительства Ленинградской области </w:t>
      </w: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.06.</w:t>
      </w: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2019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287 "Об утверждении Порядка взаимодействия органов исполнительной власти Ленинградской области при создании, модернизации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416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развитии государственных информационных систем Ленинградской области".</w:t>
      </w:r>
    </w:p>
    <w:p w:rsidR="00B416DC" w:rsidRPr="00D348A2" w:rsidRDefault="00B416DC" w:rsidP="00B416D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Основные подходы к формированию предельных объемов бюджетных ассигнований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Главным распорядителям бюджетных средств областного бюджета Ленинградской области (далее – главные распорядители) формирование предложений по распределению базовых бюджетных ассигнований осуществляется в пределах своей компетенции исходя из необходимости:</w:t>
      </w:r>
    </w:p>
    <w:p w:rsidR="006A0349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 финансового обеспечения в приоритетном порядке:</w:t>
      </w:r>
    </w:p>
    <w:p w:rsidR="00395339" w:rsidRPr="000502C7" w:rsidRDefault="0039533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9533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расход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ов</w:t>
      </w:r>
      <w:r w:rsidRPr="0039533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на реализацию Указа Президента Росси</w:t>
      </w:r>
      <w:r w:rsid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йской Федерации от 07.05.2024 № </w:t>
      </w:r>
      <w:r w:rsidRPr="0039533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309 "О национальных целях развития Российской Федерации на период до 2030 года и на перспективу до 2036 года";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исполнения публичных нормативных обязательств и и</w:t>
      </w:r>
      <w:r w:rsidR="00570EE1"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ных социальных выплат населению,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мероприятий, реализуемых в рамках проектной части государственных программ Ленинградской области с целью достижения запланированных значений целевых индикаторов государственных программ и эффективного использования бюджетных средств</w:t>
      </w:r>
      <w:r w:rsidR="00570EE1"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строительства переходящих (ранее начатых) объектов капитального строительства, в том числе объектов незавершенного строительства, в целях скорейшего ввода их в эксплуатацию</w:t>
      </w:r>
      <w:r w:rsidR="00570EE1"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уплаты налогов и сборов в соответствии с законодательством Российской Федерации о налогах и сборах;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 распределения бюджетных ассигнований на основе анализа эффективности использования и уровня исполнения бюджетных ассигнований, предоставленных на соответствующие цели в предыдущих периодах;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- учета заключений Контрольно-счетной палаты Ленинградской области по итогам контрольных и экспертно-аналитических мероприятий;</w:t>
      </w:r>
    </w:p>
    <w:p w:rsidR="006A0349" w:rsidRPr="000502C7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</w:t>
      </w: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определения объема субвенций бюджетам муниципальных образований Ленинградской области с учетом финансового обеспечения полномочий, переданных органам местного самоуправления;</w:t>
      </w:r>
    </w:p>
    <w:p w:rsidR="006A0349" w:rsidRPr="005E3412" w:rsidRDefault="00570EE1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- </w:t>
      </w:r>
      <w:r w:rsidR="006A0349"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учета </w:t>
      </w:r>
      <w:r w:rsid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показателей</w:t>
      </w:r>
      <w:r w:rsidR="006A0349"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сводной бюджетной росписи областного бюджета Ленинградской области на плановый период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6</w:t>
      </w:r>
      <w:r w:rsidR="006A0349" w:rsidRPr="00050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7</w:t>
      </w:r>
      <w:r w:rsidR="00E006E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годов по состоянию на 1 </w:t>
      </w:r>
      <w:r w:rsidR="006A0349"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ию</w:t>
      </w:r>
      <w:r w:rsidR="00D40A6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</w:t>
      </w:r>
      <w:r w:rsidR="006A0349"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я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5</w:t>
      </w:r>
      <w:r w:rsidR="006A0349"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года;</w:t>
      </w:r>
    </w:p>
    <w:p w:rsidR="006A0349" w:rsidRPr="005E3412" w:rsidRDefault="00570EE1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- </w:t>
      </w:r>
      <w:r w:rsidR="006A0349"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сокращения дебиторской задолженности по расходам;</w:t>
      </w:r>
    </w:p>
    <w:p w:rsidR="006A0349" w:rsidRDefault="00570EE1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- </w:t>
      </w:r>
      <w:r w:rsidR="006A0349"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обеспечения соблюдения требований законодательства Российской Федерации о контрактной системе в сфере закупок, нормативных правовых актов в части планирования закупок, в том числе в сфере информационно-коммуникационных технологий</w:t>
      </w:r>
      <w:r w:rsidR="008F1C3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;</w:t>
      </w:r>
    </w:p>
    <w:p w:rsidR="00504423" w:rsidRDefault="00E668D6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E668D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 финансового обеспечения непрерывного функционирования (сопровождения) государственных информационных систем Ленинградской области в полном объеме потребности на соответствующий год;</w:t>
      </w:r>
    </w:p>
    <w:p w:rsidR="008F1C37" w:rsidRPr="005E3412" w:rsidRDefault="008F1C37" w:rsidP="006E06E0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 планирования</w:t>
      </w:r>
      <w:r w:rsidRPr="008F1C3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расход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ов</w:t>
      </w:r>
      <w:r w:rsidRPr="008F1C3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6E06E0" w:rsidRPr="006E06E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на плановый период 2028 года</w:t>
      </w:r>
      <w:r w:rsidR="006E06E0" w:rsidRPr="007547E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8F1C3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на реализацию Указа Президента Российской Федер</w:t>
      </w:r>
      <w:r w:rsidR="00E006E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ации от 07.05.2024 № </w:t>
      </w:r>
      <w:r w:rsidRPr="007547E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309 "О национальных целях развития Российской Федерации на период до 2030 года и на перспективу до 2036 года" в составе зарезервированных комитетом финансов Ленинградской области бюджетных ассигнований</w:t>
      </w:r>
      <w:r w:rsid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(в связи с отсутствием информации о предоставлении из федерального бюджета межбюджетных трансфертов на реализацию региональных проектов Ленинградской области в рамках </w:t>
      </w:r>
      <w:r w:rsidR="006E06E0" w:rsidRP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федеральных</w:t>
      </w:r>
      <w:r w:rsid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6E06E0" w:rsidRP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проектов, входящих в состав национальн</w:t>
      </w:r>
      <w:r w:rsid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ых</w:t>
      </w:r>
      <w:r w:rsidR="006E06E0" w:rsidRP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проект</w:t>
      </w:r>
      <w:r w:rsidR="006E06E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ов)</w:t>
      </w:r>
      <w:r w:rsidRPr="007547E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6A0349" w:rsidRPr="005E3412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E341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</w:p>
    <w:p w:rsidR="006A0349" w:rsidRPr="005E3412" w:rsidRDefault="006A0349" w:rsidP="00830E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34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Распределение общих (предельных) объемов бюджетных ассигнований областного бюджета Ленинградской области </w:t>
      </w:r>
      <w:r w:rsidRPr="005E34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202</w:t>
      </w:r>
      <w:r w:rsidR="00CE639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Pr="005E34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341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год</w:t>
      </w:r>
      <w:r w:rsidRPr="005E34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необходимо формировать на основе следующих основных подходов:</w:t>
      </w:r>
    </w:p>
    <w:p w:rsidR="00825EDF" w:rsidRDefault="00825EDF" w:rsidP="001E6A6C">
      <w:pPr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25ED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качестве "базовых" объемов бюджетных ассигнований принимать бюджетные ассигнования 2025 года, утвержденные областным законом Ленинг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радской области от 20.12.2024 № </w:t>
      </w:r>
      <w:r w:rsidRPr="00825ED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178-оз "Об областном бюджете Ленинградской области на 2025 год и на плановый период 2026 и 2027 год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ов" (в редакции от 11.04.2025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  <w:t> 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28-оз) (далее - Закон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  <w:t> </w:t>
      </w:r>
      <w:r w:rsidRPr="00825ED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178-оз), с учетом внесенных изменений в сводную бюджетную роспись областного бюджета (по состоянию на 01.06.2025), без учета расходов за счет безвозмездных поступлений и расходов за счет резервного фонда Правительства Ленинградской области; при расчете бюджетных ассигнований не учитывать разовые расходы 2025 года и расходы за счет остатков, сложившихся на 01.01.2025; </w:t>
      </w:r>
    </w:p>
    <w:p w:rsidR="0035169D" w:rsidRPr="0035169D" w:rsidRDefault="0035169D" w:rsidP="0035169D">
      <w:pPr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5169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запланировать расходы на реализацию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 в полном объеме;</w:t>
      </w:r>
    </w:p>
    <w:p w:rsidR="0035169D" w:rsidRPr="00825EDF" w:rsidRDefault="0035169D" w:rsidP="0035169D">
      <w:pPr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5169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 запланировать расходы на реализацию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 и от 28.12.2012 № 1688 "О некоторых мерах по </w:t>
      </w:r>
      <w:r w:rsidRPr="0035169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реализации государственной политики в сфере защиты детей-сирот и детей, оставшихся без попечения родителей", в том числе на предоставление межбюджетных трансфертов, в полном объеме;</w:t>
      </w:r>
    </w:p>
    <w:p w:rsidR="001E6A6C" w:rsidRPr="00504638" w:rsidRDefault="00243C52" w:rsidP="001E6A6C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06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E554C2" w:rsidRPr="00E006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применять размер индексации расчетной величины для расчета должностных окл</w:t>
      </w:r>
      <w:r w:rsid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адов работников </w:t>
      </w:r>
      <w:r w:rsidR="00504638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государственных</w:t>
      </w:r>
      <w:r w:rsidR="00E554C2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учреждений Ленинградской области с </w:t>
      </w:r>
      <w:r w:rsidR="00E37AA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E554C2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E37AA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.01.</w:t>
      </w:r>
      <w:r w:rsidR="00E554C2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E006E8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E554C2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006E8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1,054, соответствующий индексу потребительских цен (ИПЦ) в среднем за год (в % к предыдущему году) по базовому варианту</w:t>
      </w:r>
      <w:r w:rsidR="00A85B5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554C2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E6A6C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установления должностных окладов работникам государственных учреждений Ленинградской области </w:t>
      </w:r>
      <w:r w:rsidR="00A85B5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="00E37AA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01.01.202</w:t>
      </w:r>
      <w:r w:rsidR="00504638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1E6A6C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применять расчетную величину </w:t>
      </w:r>
      <w:r w:rsidR="00504638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14 870,00 </w:t>
      </w:r>
      <w:r w:rsidR="001E6A6C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рублей</w:t>
      </w:r>
      <w:r w:rsidR="00A85B5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37AAF" w:rsidRPr="00C854FB" w:rsidRDefault="00E554C2" w:rsidP="00E37AAF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применять размер индексации с </w:t>
      </w:r>
      <w:r w:rsidR="00E37AA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01.01.202</w:t>
      </w:r>
      <w:r w:rsidR="00825EDF"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5046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ежемесячного </w:t>
      </w:r>
      <w:r w:rsidRPr="00825E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денежного </w:t>
      </w:r>
      <w:r w:rsidRPr="00016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вознаграждения Губернатора Ленинградской области, лиц, замещающих государственные должности Ленинградской области, окладов месячных денежных содержаний гражданских служащих Ленинградской области, а также месячных должностных окладов работников, замещающих должности, не являющиеся должностями государственной гражданской службы, </w:t>
      </w:r>
      <w:r w:rsidR="000162FB" w:rsidRPr="00016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1,054, соответствующий индексу </w:t>
      </w:r>
      <w:r w:rsidR="000162FB"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потребительских цен (ИПЦ) в среднем за год (в % к предыдущему году) по базовому варианту</w:t>
      </w:r>
      <w:r w:rsidR="00E37AAF"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AC1F76" w:rsidRPr="00825EDF" w:rsidRDefault="00AC1F76" w:rsidP="00AC1F76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применять коэффициент индексации расходов на социальное обеспечение по отдельным мерам социальной поддержки на прогнозный уровень индекса потребительских цен (ИПЦ) в размере </w:t>
      </w:r>
      <w:r w:rsidRPr="00825E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1,054</w:t>
      </w:r>
      <w:r w:rsidR="00C854FB" w:rsidRPr="00C854FB">
        <w:t xml:space="preserve"> </w:t>
      </w:r>
      <w:r w:rsidR="00C854FB"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уровня 2025 года</w:t>
      </w:r>
      <w:r w:rsidRPr="00825E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C854FB" w:rsidRPr="00E668D6" w:rsidRDefault="00C854FB" w:rsidP="00C854FB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бю</w:t>
      </w:r>
      <w:r w:rsidRPr="002809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джетные </w:t>
      </w:r>
      <w:r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ассигнования на оплату коммунальных расходов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коэффициентом </w:t>
      </w:r>
      <w:r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1,054 от уровня 2025 года</w:t>
      </w:r>
      <w:r w:rsidRPr="00C854FB">
        <w:rPr>
          <w:color w:val="auto"/>
        </w:rPr>
        <w:t xml:space="preserve"> </w:t>
      </w:r>
      <w:r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счет оптимизации других расходов</w:t>
      </w:r>
      <w:r w:rsidRPr="00E668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E7A80" w:rsidRDefault="006E7A80" w:rsidP="006E7A80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68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расходы на обеспечение функционирования (сопровождение) государственных информационных систем Ленинградской области с ростом не выше 5,4% от уровня 2025 года. В случае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668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в связи с увеличением с 2026 года объема услуг по сопровождению, в том числе по результатам выполненных работ по развитию, требуется увеличение соответствующих расходов более чем на 5,4%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668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расходы в сумме указанного превышения запланировать за счет оптимизации иных расходов по коду вида расходов 200;</w:t>
      </w:r>
    </w:p>
    <w:p w:rsidR="00C854FB" w:rsidRPr="005910E7" w:rsidRDefault="00C854FB" w:rsidP="00C854FB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запланировать субсидии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государственным </w:t>
      </w:r>
      <w:r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бюджетным и автономным учреждениям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Ленинградской области </w:t>
      </w:r>
      <w:r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финансовое обеспечение государственного задания</w:t>
      </w:r>
      <w:r w:rsidRPr="008064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D27BF" w:rsidRPr="00DD2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оплату коммунальных расходов с коэффициентом 1,054 от уровня 2025 года </w:t>
      </w:r>
      <w:r w:rsidR="00DD2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учетом увеличения с 01.01.2026 расходов на оплату труда, рост годового фонда оплаты труда с начислениями к 2025 году составит 105,42%;</w:t>
      </w:r>
    </w:p>
    <w:p w:rsidR="00243C52" w:rsidRDefault="00243C52" w:rsidP="00243C52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1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субвенции бюджетам муниципальных образований Ленинградской области с учетом увеличения с 01.01.202</w:t>
      </w:r>
      <w:r w:rsidR="00E4169D" w:rsidRPr="00E41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E41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расходов на оплату труда, рост годового фонда оплаты труда с начислениями к 202</w:t>
      </w:r>
      <w:r w:rsidR="00E4169D" w:rsidRPr="00E41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E41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составит </w:t>
      </w:r>
      <w:r w:rsidR="00C57D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105,42</w:t>
      </w:r>
      <w:r w:rsidRPr="00E41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  <w:r w:rsidR="002809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809DD" w:rsidRPr="002809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расчета субвенций </w:t>
      </w:r>
      <w:r w:rsid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годовой </w:t>
      </w:r>
      <w:r w:rsidR="002809DD" w:rsidRPr="002809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фонд оплаты труда с начислениями с учетом планируемой индексации </w:t>
      </w:r>
      <w:r w:rsidR="00C86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следующим должностям </w:t>
      </w:r>
      <w:r w:rsidR="005910E7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 гражданской службы Ленинградской области</w:t>
      </w:r>
      <w:r w:rsidR="002809DD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составит: "специалист первой категории" </w:t>
      </w:r>
      <w:r w:rsidR="005910E7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1 927 052,53</w:t>
      </w:r>
      <w:r w:rsidR="002809DD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рублей, "ведущий специалист" </w:t>
      </w:r>
      <w:r w:rsidR="005910E7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2 290 832,86 </w:t>
      </w:r>
      <w:r w:rsidR="002809DD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рублей, "главный специалист" </w:t>
      </w:r>
      <w:r w:rsidR="005910E7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2 664 445,08</w:t>
      </w:r>
      <w:r w:rsidR="002809DD" w:rsidRPr="00591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рублей;</w:t>
      </w:r>
    </w:p>
    <w:p w:rsidR="00EA5DE3" w:rsidRDefault="00EA5DE3" w:rsidP="00243C52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02DF8" w:rsidRDefault="00202DF8" w:rsidP="00243C52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5DE3" w:rsidRPr="005910E7" w:rsidRDefault="00EA5DE3" w:rsidP="00243C52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54FB" w:rsidRDefault="00C854FB" w:rsidP="00E668D6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5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запланировать дорожный фонд Ленинградской области в объеме бюджетных ассигнований, утвержденных на 2026 год, с увеличением на средства казначейского инфраструктурного кредита ("сдвижка" вправо инфраструктурного бюджетного кредита);</w:t>
      </w:r>
    </w:p>
    <w:p w:rsidR="00BC5C1F" w:rsidRPr="00BC5C1F" w:rsidRDefault="00BC5C1F" w:rsidP="00E668D6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расходы в размере бюджетных ассигнований, утвержденных  на 2026 год:</w:t>
      </w:r>
    </w:p>
    <w:p w:rsidR="00BC5C1F" w:rsidRPr="00BC5C1F" w:rsidRDefault="00BC5C1F" w:rsidP="00BC5C1F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предоставление иных дотаций;</w:t>
      </w:r>
    </w:p>
    <w:p w:rsidR="00BC5C1F" w:rsidRPr="00BC5C1F" w:rsidRDefault="00BC5C1F" w:rsidP="00BC5C1F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предоставление иных межбюджетных трансфертов;</w:t>
      </w:r>
    </w:p>
    <w:p w:rsidR="00BC5C1F" w:rsidRPr="00BC5C1F" w:rsidRDefault="00BC5C1F" w:rsidP="00BC5C1F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услуг;</w:t>
      </w:r>
    </w:p>
    <w:p w:rsidR="00966978" w:rsidRPr="007547E6" w:rsidRDefault="00966978" w:rsidP="00BC5C1F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47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остальные расходы не выше уровня бюджетных ассигнований 202</w:t>
      </w:r>
      <w:r w:rsidR="007547E6" w:rsidRPr="007547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7547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C829F4" w:rsidRPr="005E3412" w:rsidRDefault="00C829F4" w:rsidP="005F2577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Default="006A0349" w:rsidP="00B24B5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34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Общие (предельные) объемы бюджетных ассигнований областного бюджета Ленинградской области на плановый период </w:t>
      </w:r>
      <w:r w:rsidRPr="005E34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CE639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Pr="005E34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341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года</w:t>
      </w:r>
      <w:r w:rsidRPr="005E34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формировать на основе следующих основных подходов:</w:t>
      </w:r>
    </w:p>
    <w:p w:rsidR="007547E6" w:rsidRPr="005E3412" w:rsidRDefault="007547E6" w:rsidP="00B24B5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547E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запланировать расходы на реализацию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 в полном объеме;</w:t>
      </w:r>
    </w:p>
    <w:p w:rsidR="005C4E85" w:rsidRDefault="005C4E85" w:rsidP="005C4E85">
      <w:pPr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C4E8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запланировать дорожный фонд Ленинградской области в объеме доходов, формирующих дорожный фонд Ленинградской области;</w:t>
      </w:r>
    </w:p>
    <w:p w:rsidR="00C86831" w:rsidRDefault="00C86831" w:rsidP="00C86831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C4E85">
        <w:rPr>
          <w:rFonts w:ascii="Book Antiqua" w:eastAsia="Times New Roman" w:hAnsi="Book Antiqua" w:cs="Times New Roman"/>
          <w:color w:val="auto"/>
          <w:szCs w:val="20"/>
          <w:lang w:bidi="ar-SA"/>
        </w:rPr>
        <w:t xml:space="preserve"> </w:t>
      </w: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запланировать расходы на реализацию отраслевых и приоритетных проектов </w:t>
      </w:r>
      <w:r w:rsidR="00C2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Ленинградской области </w:t>
      </w: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утвержденными проектами;</w:t>
      </w:r>
    </w:p>
    <w:p w:rsidR="005C4E85" w:rsidRPr="005C4E85" w:rsidRDefault="005C4E85" w:rsidP="005C4E85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остальные расходы не выше уровня бюджетных ассигнований, сформированных на 2026 год.</w:t>
      </w:r>
    </w:p>
    <w:p w:rsidR="00FC45DD" w:rsidRPr="005E3412" w:rsidRDefault="00FC45DD" w:rsidP="00830E04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5E3412" w:rsidRDefault="006A0349" w:rsidP="00830E04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34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Общие (предельные) объемы бюджетных ассигнований областного бюджета Ленинградской области на плановый период </w:t>
      </w:r>
      <w:r w:rsidRPr="005E34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CE639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  <w:r w:rsidRPr="005E341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</w:t>
      </w:r>
      <w:r w:rsidRPr="005E34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формировать на основе следующих основных подходов:</w:t>
      </w:r>
    </w:p>
    <w:p w:rsidR="005C4E85" w:rsidRPr="005C4E85" w:rsidRDefault="005C4E85" w:rsidP="005C4E85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дорожный фонд Ленинградской области в объеме доходов, формирующих дорожный фонд Ленинградской области;</w:t>
      </w:r>
    </w:p>
    <w:p w:rsidR="005C4E85" w:rsidRPr="005C4E85" w:rsidRDefault="005C4E85" w:rsidP="005C4E85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5C4E85">
        <w:rPr>
          <w:rFonts w:ascii="Book Antiqua" w:eastAsia="Times New Roman" w:hAnsi="Book Antiqua" w:cs="Times New Roman"/>
          <w:color w:val="auto"/>
          <w:szCs w:val="20"/>
          <w:lang w:bidi="ar-SA"/>
        </w:rPr>
        <w:t xml:space="preserve"> </w:t>
      </w: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запланировать расходы на реализацию отраслевых и приоритетных проектов </w:t>
      </w:r>
      <w:r w:rsidR="00C2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Ленинградской области </w:t>
      </w: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утвержденными проектами;</w:t>
      </w:r>
    </w:p>
    <w:p w:rsidR="005C4E85" w:rsidRPr="005C4E85" w:rsidRDefault="005C4E85" w:rsidP="005C4E85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E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запланировать остальные расходы не выше уровня бюджетных ассигнований, сформированных на 2027 год.</w:t>
      </w:r>
    </w:p>
    <w:p w:rsidR="008F1C37" w:rsidRDefault="008F1C37" w:rsidP="00462E70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7B4802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Контрольные цифры не включают в себя расходы, производимые за счет безвозмездных поступлений из федерального бюджета, бюджет</w:t>
      </w:r>
      <w:r w:rsidR="005F745A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</w:t>
      </w: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Санкт-Петербурга, </w:t>
      </w:r>
      <w:r w:rsidR="005F745A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Фонда пенсионного и социального страхования Российской Федерации</w:t>
      </w: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="005F745A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Публично-правовой компании "Фонд развития территорий"</w:t>
      </w: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6A0349" w:rsidRDefault="006A0349" w:rsidP="00830E04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 этом, Проект бюджета будет сформирован с учетом безвозмездных поступлений 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6</w:t>
      </w: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7</w:t>
      </w: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годы, утвержденных Законом № </w:t>
      </w:r>
      <w:r w:rsidR="00E2745D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78</w:t>
      </w:r>
      <w:r w:rsidR="005F745A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</w:t>
      </w:r>
      <w:r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оз (</w:t>
      </w:r>
      <w:r w:rsidR="007B4802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 Федеральным законом </w:t>
      </w:r>
      <w:r w:rsidR="00CE639A" w:rsidRP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30.11.2024 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№</w:t>
      </w:r>
      <w:r w:rsidR="00CE639A" w:rsidRP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419-ФЗ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7B4802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"О федеральном бюджете на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5</w:t>
      </w:r>
      <w:r w:rsidR="007B4802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 и на плановый период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6</w:t>
      </w:r>
      <w:r w:rsidR="007B4802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 202</w:t>
      </w:r>
      <w:r w:rsidR="00CE639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7</w:t>
      </w:r>
      <w:r w:rsidR="007B4802" w:rsidRPr="007B48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годов"</w:t>
      </w:r>
      <w:r w:rsidRPr="007B48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6A0349" w:rsidRPr="00E2745D" w:rsidRDefault="006A0349" w:rsidP="00830E04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48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 получении уточненной информации о безвозмездных </w:t>
      </w:r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поступлениях из федерального бюджета и других бюджетов бюджетной системы Российской Федерации на 202</w:t>
      </w:r>
      <w:r w:rsidR="008C64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="008C64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годы, указанная информация будет доведена комитетом финансов Ленинградской области до главных распорядителей дополнительно.</w:t>
      </w:r>
    </w:p>
    <w:p w:rsidR="006A0349" w:rsidRPr="00E2745D" w:rsidRDefault="006A0349" w:rsidP="003D7F9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Контрольные цифры сформированы в соответствии со </w:t>
      </w:r>
      <w:hyperlink r:id="rId7" w:history="1">
        <w:r w:rsidRPr="00E2745D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структурой</w:t>
        </w:r>
      </w:hyperlink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исполнительных органов государственной власти Ленинградской области, действующей в 202</w:t>
      </w:r>
      <w:r w:rsidR="008C64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3D7F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году, и </w:t>
      </w:r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включают  в себя расходы по государственным программам Ленинградской области и непрограммным направлениям.</w:t>
      </w:r>
    </w:p>
    <w:p w:rsidR="006A0349" w:rsidRPr="00E2745D" w:rsidRDefault="006A0349" w:rsidP="00830E04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27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274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Главные распорядители осуществляют планирование бюджетных ассигнований в соответствии с полномочиями, установленными им постановлением Правительства Ленинградской области от 21.07.2008 № 211 "Об утверждении Положения о порядке разработки проекта областного бюджета Ленинградской области и проекта бюджета Территориального фонда обязательного медицинского страхования Ленинградской области на очередной финансовый год и на плановый период" (с изменениями).</w:t>
      </w:r>
    </w:p>
    <w:p w:rsidR="006A0349" w:rsidRPr="00480421" w:rsidRDefault="006A0349" w:rsidP="00830E0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274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Планирование бюджетных ассигнований областного бюджета Ленинградской области осуществляется в соответствии </w:t>
      </w:r>
      <w:r w:rsidRPr="004804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 приказом комитета финансов Ленинградской области от 25.05.2016 № 18-02/01-02-54 "Об утверждении порядка и методики планирования бюджетных ассигнований областного бюджета Ленинградской области" (</w:t>
      </w:r>
      <w:r w:rsidR="004804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редакции </w:t>
      </w:r>
      <w:r w:rsidR="00480421" w:rsidRPr="004804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10</w:t>
      </w:r>
      <w:r w:rsidR="004804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.06.2024 №</w:t>
      </w:r>
      <w:r w:rsidR="00480421" w:rsidRPr="004804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18-02/02-16</w:t>
      </w:r>
      <w:r w:rsidRPr="004804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FC45DD" w:rsidRDefault="00FC45DD" w:rsidP="00830E04">
      <w:pPr>
        <w:widowControl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A0349" w:rsidRPr="00B239CC" w:rsidRDefault="006A0349" w:rsidP="00830E04">
      <w:pPr>
        <w:widowControl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239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Порядок работы в информационной системе</w:t>
      </w:r>
    </w:p>
    <w:p w:rsidR="006A0349" w:rsidRPr="00B239CC" w:rsidRDefault="006A0349" w:rsidP="00830E04">
      <w:pPr>
        <w:widowControl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B239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"Управление бюджетным процессом Ленинградской области"</w:t>
      </w:r>
    </w:p>
    <w:p w:rsidR="006A0349" w:rsidRPr="00B239CC" w:rsidRDefault="006A0349" w:rsidP="00830E04">
      <w:pPr>
        <w:widowControl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A0349" w:rsidRPr="00B239CC" w:rsidRDefault="006A0349" w:rsidP="00830E0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Формирование Проекта бюджета </w:t>
      </w:r>
      <w:r w:rsidRPr="00B239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осуществляется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главными распорядителями в </w:t>
      </w:r>
      <w:r w:rsidR="00A8676A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подсистеме "АЦК-Планирование</w:t>
      </w:r>
      <w:r w:rsidR="00EA4514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-202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="00A8676A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" информационной системы "Управление бюджетным процессом Ленинградской области"</w:t>
      </w:r>
      <w:r w:rsidR="00B239CC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(далее - "АЦК-Планирование-202</w:t>
      </w:r>
      <w:r w:rsidR="007B4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="00B239CC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")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A0349" w:rsidRPr="00B239CC" w:rsidRDefault="006A0349" w:rsidP="00830E0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Для этих целей создана версия "Бюджет 202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-202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Правительство", в которую </w:t>
      </w:r>
      <w:r w:rsidRPr="00B2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осуществлен автоматический перенос бюджетных заявок и бюджетных заявок на изменение ассигнований из "АЦК-Планирование 202</w:t>
      </w:r>
      <w:r w:rsidR="008C64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2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".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версии "Бюджет 202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-202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Правительство" сформированы бюджетные заявки со статусом "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Отложен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". </w:t>
      </w:r>
    </w:p>
    <w:p w:rsidR="006A0349" w:rsidRPr="00B239CC" w:rsidRDefault="006A0349" w:rsidP="004764B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целях формирования Проекта бюджета необходимо откорректировать бюджетные заявки в соответствии с доведенными </w:t>
      </w:r>
      <w:r w:rsidRPr="00B239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контрольными цифрами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создать сводные бюджетные заявки.</w:t>
      </w:r>
      <w:r w:rsidR="004764BD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Также необходимо создать сводные бюджетные заявки </w:t>
      </w:r>
      <w:r w:rsidR="00502A9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 бюджетным ассигнованиям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 счет </w:t>
      </w:r>
      <w:r w:rsidR="004764BD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безвозмездных поступлений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A0349" w:rsidRPr="00B239CC" w:rsidRDefault="006A0349" w:rsidP="00830E04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Наличие бюджетных заявок на изменение ассигнований, "минусовых" сумм в бюджетных заявках, </w:t>
      </w:r>
      <w:r w:rsidR="00CF6060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 также </w:t>
      </w:r>
      <w:r w:rsidR="00CF606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нулевых строк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указанной версии </w:t>
      </w:r>
      <w:r w:rsidRPr="00B239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не допускается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6A0349" w:rsidRDefault="006A0349" w:rsidP="00830E04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23" w:rsidRDefault="00631E23" w:rsidP="00830E04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23" w:rsidRDefault="00631E23" w:rsidP="00830E04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D7F98" w:rsidRDefault="003D7F98" w:rsidP="00830E04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D7F98" w:rsidRDefault="003D7F98" w:rsidP="00830E04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23" w:rsidRPr="00CF6060" w:rsidRDefault="00631E23" w:rsidP="00830E04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A0349" w:rsidRPr="00CF6060" w:rsidRDefault="006A0349" w:rsidP="00830E04">
      <w:pPr>
        <w:widowControl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CF606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Порядок формирования и применения кодов бюджетной классификации</w:t>
      </w:r>
    </w:p>
    <w:p w:rsidR="006A0349" w:rsidRPr="00CF6060" w:rsidRDefault="006A0349" w:rsidP="00830E0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0349" w:rsidRPr="00D2710B" w:rsidRDefault="006A0349" w:rsidP="00830E0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Распределение бюджетных ассигнований на 202</w:t>
      </w:r>
      <w:r w:rsidR="00D2710B"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и на плановый период 202</w:t>
      </w:r>
      <w:r w:rsidR="00D2710B"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D2710B"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 по кодам </w:t>
      </w:r>
      <w:r w:rsidR="00863AE6"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бюджетной </w:t>
      </w:r>
      <w:r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классификации расходов бюджетов следует осуществлять:</w:t>
      </w:r>
    </w:p>
    <w:p w:rsidR="000A4AE4" w:rsidRDefault="006A0349" w:rsidP="000A4AE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</w:t>
      </w:r>
      <w:r w:rsid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A4AE4" w:rsidRPr="000A4AE4" w:rsidRDefault="000A4AE4" w:rsidP="000A4AE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6A0349"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="006A0349" w:rsidRPr="00D271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финансов Российской Федерации от 24.05.2022 № </w:t>
      </w:r>
      <w:r w:rsidR="006A0349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82н "О Порядке формирования и применения кодов бюджетной классификации Российской Федерации, их структуре и принципах назначения"</w:t>
      </w:r>
      <w:r w:rsidR="00BB41B4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9A30CB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изменениями</w:t>
      </w:r>
      <w:r w:rsidR="00BB41B4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6A0349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Приказ № 82н);</w:t>
      </w:r>
    </w:p>
    <w:p w:rsidR="000A4AE4" w:rsidRPr="000A4AE4" w:rsidRDefault="000A4AE4" w:rsidP="000A4AE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 проектом приказа Министерства финансов Российской Федерации "Об утверждении кодов (перечней кодов) бюджетной классификации Российской Федерации на 2026 год (на 2026 год и на плановый период 2027 и 2028 годов)"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Проект приказа)</w:t>
      </w: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C7B2C" w:rsidRPr="000A4AE4" w:rsidRDefault="008C7B2C" w:rsidP="00A24F1C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учетом:</w:t>
      </w:r>
    </w:p>
    <w:p w:rsidR="006A0349" w:rsidRPr="000A4AE4" w:rsidRDefault="008D60EE" w:rsidP="00A24F1C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</w:t>
      </w:r>
      <w:r w:rsidR="002400D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аблицы соответствия разделов (подразделов) и видов расходов классификации расходов бюджетов, применяемых при составлении и исполнении федерального бюджета на 202</w:t>
      </w:r>
      <w:r w:rsidR="008C7B2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2400D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и на плановый период 202</w:t>
      </w:r>
      <w:r w:rsidR="008C7B2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2400D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8C7B2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2400D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</w:t>
      </w:r>
      <w:r w:rsidR="008C7B2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C7B2C" w:rsidRPr="000A4AE4" w:rsidRDefault="008C7B2C" w:rsidP="00A24F1C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применяемая в 202</w:t>
      </w:r>
      <w:r w:rsidR="008D60EE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году;</w:t>
      </w:r>
    </w:p>
    <w:p w:rsidR="000A4AE4" w:rsidRDefault="008C7B2C" w:rsidP="000A4AE4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приказом комитета финансов Ленинградской области </w:t>
      </w:r>
      <w:r w:rsidR="003B720D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26.12.2024 № 18-02/02-42 (с изменениями) "Об утверждении Указаний о порядке применения бюджетной классификации </w:t>
      </w:r>
      <w:r w:rsidR="003B720D" w:rsidRPr="003B72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областного бюджета Ленинградской области, бюджета Территориального фонда обязательного медицинского страхования Ленинградской области и дополнительных аналитических кодов"</w:t>
      </w:r>
      <w:r w:rsidRPr="003B72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Приказ КФ).</w:t>
      </w:r>
    </w:p>
    <w:p w:rsidR="000A4AE4" w:rsidRPr="000A4AE4" w:rsidRDefault="000A4AE4" w:rsidP="00631E23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 № 82н и Приказ КФ размещены в информационно-правовой базе "КонсультантПлюс".</w:t>
      </w:r>
      <w:r w:rsidR="00631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приказа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="00BB41B4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6226E" w:rsidRPr="006A0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вышеуказанные таблицы</w:t>
      </w:r>
      <w:r w:rsidR="00BB41B4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будут размещены</w:t>
      </w:r>
      <w:r w:rsidR="00BB41B4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официальном сайте Министерства финансов Российской Федерации (https://minfin.gov.ru/) в рубрике "Бюджет", подрубрике "Бюджетная классификация Российской Федерации", раздел</w:t>
      </w:r>
      <w:r w:rsidR="002400D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</w:t>
      </w:r>
      <w:r w:rsidR="00BB41B4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"Нормативные правовые акты и методические рекомендации"</w:t>
      </w:r>
      <w:r w:rsidR="002400DC"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"Методический кабинет"</w:t>
      </w:r>
      <w:r w:rsidRPr="000A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также в информационно-правовой базе "КонсультантПлюс".</w:t>
      </w:r>
    </w:p>
    <w:p w:rsidR="006A0349" w:rsidRPr="00D2710B" w:rsidRDefault="006A0349" w:rsidP="00830E0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71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части порядка применения дополнительных кодов (КОСГУ) расходов областного бюджета Ленинградской области следует руководствоваться Приказом Министерства финансов Российской Федерации России от 29.11.2017 № 209н "Об утверждении Порядка применения классификации операций сектора государственного управления" (с изменениями).</w:t>
      </w:r>
    </w:p>
    <w:p w:rsidR="006A0349" w:rsidRPr="00B239CC" w:rsidRDefault="006A0349" w:rsidP="000502C7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B2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соответствии с пунктами </w:t>
      </w:r>
      <w:r w:rsidR="00B239CC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29</w:t>
      </w:r>
      <w:r w:rsid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3</w:t>
      </w:r>
      <w:r w:rsidR="00B239CC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0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 34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Плана-графика</w:t>
      </w:r>
      <w:r w:rsidRPr="00B2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B720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главным распорядителям </w:t>
      </w:r>
      <w:r w:rsidRPr="00B2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сформировать в "АЦК-Планирование</w:t>
      </w:r>
      <w:r w:rsidR="00666FE0"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202</w:t>
      </w:r>
      <w:r w:rsidR="008C647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" бюджетные заявки </w:t>
      </w:r>
      <w:r w:rsid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3B720D" w:rsidRP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сводны</w:t>
      </w:r>
      <w:r w:rsid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</w:t>
      </w:r>
      <w:r w:rsidR="003B720D" w:rsidRP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заяв</w:t>
      </w:r>
      <w:r w:rsid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ки</w:t>
      </w:r>
      <w:r w:rsidR="003B720D" w:rsidRPr="003B720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доведенными контрольными цифрами </w:t>
      </w:r>
      <w:r w:rsidRPr="00B2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B239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представить в отраслевые отделы комитета финансов Ленинградской области обоснования бюджетных ассигнований (ОБАСы) </w:t>
      </w:r>
      <w:r w:rsidRPr="00B239C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 срок до 1</w:t>
      </w:r>
      <w:r w:rsidR="00B239CC" w:rsidRPr="00B239C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</w:t>
      </w:r>
      <w:r w:rsidRPr="00B239C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июля 202</w:t>
      </w:r>
      <w:r w:rsidR="008C647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</w:t>
      </w:r>
      <w:r w:rsidRPr="00B239C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года.</w:t>
      </w:r>
    </w:p>
    <w:sectPr w:rsidR="006A0349" w:rsidRPr="00B239CC" w:rsidSect="00D76083">
      <w:footerReference w:type="even" r:id="rId8"/>
      <w:footerReference w:type="default" r:id="rId9"/>
      <w:pgSz w:w="11907" w:h="16840" w:code="9"/>
      <w:pgMar w:top="993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BD" w:rsidRDefault="000738BD">
      <w:r>
        <w:separator/>
      </w:r>
    </w:p>
  </w:endnote>
  <w:endnote w:type="continuationSeparator" w:id="0">
    <w:p w:rsidR="000738BD" w:rsidRDefault="0007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701754"/>
      <w:docPartObj>
        <w:docPartGallery w:val="Page Numbers (Bottom of Page)"/>
        <w:docPartUnique/>
      </w:docPartObj>
    </w:sdtPr>
    <w:sdtEndPr/>
    <w:sdtContent>
      <w:p w:rsidR="004764BD" w:rsidRDefault="004764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AD">
          <w:rPr>
            <w:noProof/>
          </w:rPr>
          <w:t>6</w:t>
        </w:r>
        <w:r>
          <w:fldChar w:fldCharType="end"/>
        </w:r>
      </w:p>
    </w:sdtContent>
  </w:sdt>
  <w:p w:rsidR="004764BD" w:rsidRDefault="004764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237054"/>
      <w:docPartObj>
        <w:docPartGallery w:val="Page Numbers (Bottom of Page)"/>
        <w:docPartUnique/>
      </w:docPartObj>
    </w:sdtPr>
    <w:sdtEndPr/>
    <w:sdtContent>
      <w:p w:rsidR="00D86A19" w:rsidRDefault="00D86A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AD">
          <w:rPr>
            <w:noProof/>
          </w:rPr>
          <w:t>1</w:t>
        </w:r>
        <w:r>
          <w:fldChar w:fldCharType="end"/>
        </w:r>
      </w:p>
    </w:sdtContent>
  </w:sdt>
  <w:p w:rsidR="00830E04" w:rsidRDefault="00830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BD" w:rsidRDefault="000738BD"/>
  </w:footnote>
  <w:footnote w:type="continuationSeparator" w:id="0">
    <w:p w:rsidR="000738BD" w:rsidRDefault="000738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65CE"/>
    <w:rsid w:val="000071E3"/>
    <w:rsid w:val="000162FB"/>
    <w:rsid w:val="000502C7"/>
    <w:rsid w:val="00054B61"/>
    <w:rsid w:val="00066E95"/>
    <w:rsid w:val="000738BD"/>
    <w:rsid w:val="000901AC"/>
    <w:rsid w:val="000A2DDD"/>
    <w:rsid w:val="000A4AE4"/>
    <w:rsid w:val="000C71C9"/>
    <w:rsid w:val="000D3122"/>
    <w:rsid w:val="000D4A2C"/>
    <w:rsid w:val="000F0684"/>
    <w:rsid w:val="000F144F"/>
    <w:rsid w:val="00123751"/>
    <w:rsid w:val="00157379"/>
    <w:rsid w:val="001731E2"/>
    <w:rsid w:val="00180D45"/>
    <w:rsid w:val="001A45C1"/>
    <w:rsid w:val="001B009A"/>
    <w:rsid w:val="001D1B09"/>
    <w:rsid w:val="001D4369"/>
    <w:rsid w:val="001D74FE"/>
    <w:rsid w:val="001E6A6C"/>
    <w:rsid w:val="00202DF8"/>
    <w:rsid w:val="00212248"/>
    <w:rsid w:val="002400DC"/>
    <w:rsid w:val="00243C52"/>
    <w:rsid w:val="002729B0"/>
    <w:rsid w:val="002809DD"/>
    <w:rsid w:val="0028179E"/>
    <w:rsid w:val="002A5E4D"/>
    <w:rsid w:val="002C1DE0"/>
    <w:rsid w:val="002D3BAC"/>
    <w:rsid w:val="002D5406"/>
    <w:rsid w:val="002E3D6C"/>
    <w:rsid w:val="002E44A1"/>
    <w:rsid w:val="002F528B"/>
    <w:rsid w:val="00326417"/>
    <w:rsid w:val="0035169D"/>
    <w:rsid w:val="00371F8C"/>
    <w:rsid w:val="00374DAD"/>
    <w:rsid w:val="00381A7A"/>
    <w:rsid w:val="003874C6"/>
    <w:rsid w:val="00395339"/>
    <w:rsid w:val="003958CC"/>
    <w:rsid w:val="003B720D"/>
    <w:rsid w:val="003D0A9F"/>
    <w:rsid w:val="003D4757"/>
    <w:rsid w:val="003D7F98"/>
    <w:rsid w:val="003E3098"/>
    <w:rsid w:val="003F0F63"/>
    <w:rsid w:val="003F2765"/>
    <w:rsid w:val="0040383D"/>
    <w:rsid w:val="00413D94"/>
    <w:rsid w:val="00462406"/>
    <w:rsid w:val="00462E70"/>
    <w:rsid w:val="004764BD"/>
    <w:rsid w:val="00480421"/>
    <w:rsid w:val="004856B2"/>
    <w:rsid w:val="00485A40"/>
    <w:rsid w:val="00486333"/>
    <w:rsid w:val="00492CB4"/>
    <w:rsid w:val="004932F8"/>
    <w:rsid w:val="004A1760"/>
    <w:rsid w:val="004B164C"/>
    <w:rsid w:val="004C78E0"/>
    <w:rsid w:val="004F149F"/>
    <w:rsid w:val="004F6707"/>
    <w:rsid w:val="004F6977"/>
    <w:rsid w:val="005018CD"/>
    <w:rsid w:val="00502A94"/>
    <w:rsid w:val="00504423"/>
    <w:rsid w:val="00504638"/>
    <w:rsid w:val="00507FEC"/>
    <w:rsid w:val="00537927"/>
    <w:rsid w:val="005567EF"/>
    <w:rsid w:val="00567450"/>
    <w:rsid w:val="00570EE1"/>
    <w:rsid w:val="005910E7"/>
    <w:rsid w:val="005923C4"/>
    <w:rsid w:val="005A7956"/>
    <w:rsid w:val="005B7E1C"/>
    <w:rsid w:val="005C0C67"/>
    <w:rsid w:val="005C37E6"/>
    <w:rsid w:val="005C4E85"/>
    <w:rsid w:val="005C7884"/>
    <w:rsid w:val="005E3412"/>
    <w:rsid w:val="005F2577"/>
    <w:rsid w:val="005F745A"/>
    <w:rsid w:val="00604E9E"/>
    <w:rsid w:val="00611488"/>
    <w:rsid w:val="00625DA4"/>
    <w:rsid w:val="00630461"/>
    <w:rsid w:val="00631E23"/>
    <w:rsid w:val="00653700"/>
    <w:rsid w:val="00666FE0"/>
    <w:rsid w:val="00694A6A"/>
    <w:rsid w:val="006A0349"/>
    <w:rsid w:val="006A19F5"/>
    <w:rsid w:val="006A4377"/>
    <w:rsid w:val="006C188D"/>
    <w:rsid w:val="006C4B21"/>
    <w:rsid w:val="006D2334"/>
    <w:rsid w:val="006E06E0"/>
    <w:rsid w:val="006E7A80"/>
    <w:rsid w:val="006F1E6F"/>
    <w:rsid w:val="006F4B36"/>
    <w:rsid w:val="00726B7F"/>
    <w:rsid w:val="0073356A"/>
    <w:rsid w:val="007547E6"/>
    <w:rsid w:val="0076437E"/>
    <w:rsid w:val="007902E4"/>
    <w:rsid w:val="00791F65"/>
    <w:rsid w:val="007A740D"/>
    <w:rsid w:val="007B43AC"/>
    <w:rsid w:val="007B4802"/>
    <w:rsid w:val="007B536A"/>
    <w:rsid w:val="007B6493"/>
    <w:rsid w:val="007E2136"/>
    <w:rsid w:val="007E7A01"/>
    <w:rsid w:val="007F460C"/>
    <w:rsid w:val="008064AF"/>
    <w:rsid w:val="00825EDF"/>
    <w:rsid w:val="00830E04"/>
    <w:rsid w:val="008418F3"/>
    <w:rsid w:val="00852709"/>
    <w:rsid w:val="008621EF"/>
    <w:rsid w:val="0086226E"/>
    <w:rsid w:val="00862491"/>
    <w:rsid w:val="00863AE6"/>
    <w:rsid w:val="00873424"/>
    <w:rsid w:val="00882E21"/>
    <w:rsid w:val="00884826"/>
    <w:rsid w:val="00884830"/>
    <w:rsid w:val="008A3CD9"/>
    <w:rsid w:val="008A7C5E"/>
    <w:rsid w:val="008B54FA"/>
    <w:rsid w:val="008C6372"/>
    <w:rsid w:val="008C647D"/>
    <w:rsid w:val="008C7B2C"/>
    <w:rsid w:val="008D60EE"/>
    <w:rsid w:val="008F1C37"/>
    <w:rsid w:val="008F6361"/>
    <w:rsid w:val="0095207C"/>
    <w:rsid w:val="00954D47"/>
    <w:rsid w:val="00966978"/>
    <w:rsid w:val="009708BE"/>
    <w:rsid w:val="009A30CB"/>
    <w:rsid w:val="009B45BA"/>
    <w:rsid w:val="009C2A5E"/>
    <w:rsid w:val="009C547A"/>
    <w:rsid w:val="00A10513"/>
    <w:rsid w:val="00A22AD9"/>
    <w:rsid w:val="00A23E6B"/>
    <w:rsid w:val="00A24F1C"/>
    <w:rsid w:val="00A401F5"/>
    <w:rsid w:val="00A42662"/>
    <w:rsid w:val="00A43488"/>
    <w:rsid w:val="00A70D2E"/>
    <w:rsid w:val="00A85B5F"/>
    <w:rsid w:val="00A8676A"/>
    <w:rsid w:val="00AB5942"/>
    <w:rsid w:val="00AC1F76"/>
    <w:rsid w:val="00B15714"/>
    <w:rsid w:val="00B239CC"/>
    <w:rsid w:val="00B24B55"/>
    <w:rsid w:val="00B34D61"/>
    <w:rsid w:val="00B416DC"/>
    <w:rsid w:val="00B51DDC"/>
    <w:rsid w:val="00B52872"/>
    <w:rsid w:val="00B963E9"/>
    <w:rsid w:val="00BA2B7D"/>
    <w:rsid w:val="00BB41B4"/>
    <w:rsid w:val="00BC5C1F"/>
    <w:rsid w:val="00BD27B4"/>
    <w:rsid w:val="00BE4A65"/>
    <w:rsid w:val="00C11D41"/>
    <w:rsid w:val="00C2219D"/>
    <w:rsid w:val="00C22C52"/>
    <w:rsid w:val="00C30653"/>
    <w:rsid w:val="00C4548F"/>
    <w:rsid w:val="00C57DEF"/>
    <w:rsid w:val="00C62E2C"/>
    <w:rsid w:val="00C67C99"/>
    <w:rsid w:val="00C738AC"/>
    <w:rsid w:val="00C773E5"/>
    <w:rsid w:val="00C829F4"/>
    <w:rsid w:val="00C854FB"/>
    <w:rsid w:val="00C86831"/>
    <w:rsid w:val="00CA0CBB"/>
    <w:rsid w:val="00CA508C"/>
    <w:rsid w:val="00CB5C1C"/>
    <w:rsid w:val="00CE3606"/>
    <w:rsid w:val="00CE639A"/>
    <w:rsid w:val="00CF6060"/>
    <w:rsid w:val="00CF7F2B"/>
    <w:rsid w:val="00D23F58"/>
    <w:rsid w:val="00D2710B"/>
    <w:rsid w:val="00D348A2"/>
    <w:rsid w:val="00D40A6A"/>
    <w:rsid w:val="00D41CD8"/>
    <w:rsid w:val="00D42762"/>
    <w:rsid w:val="00D5098F"/>
    <w:rsid w:val="00D61D9C"/>
    <w:rsid w:val="00D76083"/>
    <w:rsid w:val="00D80767"/>
    <w:rsid w:val="00D86A19"/>
    <w:rsid w:val="00D93501"/>
    <w:rsid w:val="00DB3F2C"/>
    <w:rsid w:val="00DB4716"/>
    <w:rsid w:val="00DB48D0"/>
    <w:rsid w:val="00DD27BF"/>
    <w:rsid w:val="00E006E8"/>
    <w:rsid w:val="00E06D2B"/>
    <w:rsid w:val="00E20E6C"/>
    <w:rsid w:val="00E256AA"/>
    <w:rsid w:val="00E2745D"/>
    <w:rsid w:val="00E35C6D"/>
    <w:rsid w:val="00E37AAF"/>
    <w:rsid w:val="00E4169D"/>
    <w:rsid w:val="00E50BB7"/>
    <w:rsid w:val="00E554C2"/>
    <w:rsid w:val="00E66322"/>
    <w:rsid w:val="00E668D6"/>
    <w:rsid w:val="00E67865"/>
    <w:rsid w:val="00E71968"/>
    <w:rsid w:val="00E87D42"/>
    <w:rsid w:val="00E94E95"/>
    <w:rsid w:val="00E965CE"/>
    <w:rsid w:val="00EA4514"/>
    <w:rsid w:val="00EA5DE3"/>
    <w:rsid w:val="00EC0270"/>
    <w:rsid w:val="00ED0C0C"/>
    <w:rsid w:val="00ED1745"/>
    <w:rsid w:val="00EE2C09"/>
    <w:rsid w:val="00EE6B30"/>
    <w:rsid w:val="00EF218E"/>
    <w:rsid w:val="00F06B11"/>
    <w:rsid w:val="00F43AE5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88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4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D0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E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E04"/>
    <w:rPr>
      <w:color w:val="000000"/>
    </w:rPr>
  </w:style>
  <w:style w:type="paragraph" w:styleId="a9">
    <w:name w:val="footer"/>
    <w:basedOn w:val="a"/>
    <w:link w:val="aa"/>
    <w:uiPriority w:val="99"/>
    <w:unhideWhenUsed/>
    <w:rsid w:val="00830E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E0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88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4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D0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0E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E04"/>
    <w:rPr>
      <w:color w:val="000000"/>
    </w:rPr>
  </w:style>
  <w:style w:type="paragraph" w:styleId="a9">
    <w:name w:val="footer"/>
    <w:basedOn w:val="a"/>
    <w:link w:val="aa"/>
    <w:uiPriority w:val="99"/>
    <w:unhideWhenUsed/>
    <w:rsid w:val="00830E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E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4FD037AE2EDC55FEC5137B1078AF48D2C47A20DF8A5E57428E5D77AE51111147D92B71D2E743CEyC1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Владимирович</dc:creator>
  <cp:lastModifiedBy>Костливцева Наталья Максимовна</cp:lastModifiedBy>
  <cp:revision>2</cp:revision>
  <cp:lastPrinted>2025-06-27T06:30:00Z</cp:lastPrinted>
  <dcterms:created xsi:type="dcterms:W3CDTF">2025-07-03T06:58:00Z</dcterms:created>
  <dcterms:modified xsi:type="dcterms:W3CDTF">2025-07-03T06:58:00Z</dcterms:modified>
</cp:coreProperties>
</file>