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/>
          <w:bCs/>
          <w:sz w:val="28"/>
          <w:szCs w:val="28"/>
        </w:rPr>
        <w:t>Порядок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/>
          <w:bCs/>
          <w:sz w:val="28"/>
          <w:szCs w:val="28"/>
        </w:rPr>
        <w:t>предоставления и распределения субсидии из областного бюджета Ленинградской области бюджетам муниципальных образований Ленинградской области на предоставление частичной компенсации стоимости путевок в муниципальные организации отдыха детей и их оздоровления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>1. Общие положения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1.1. </w:t>
      </w:r>
      <w:proofErr w:type="gramStart"/>
      <w:r w:rsidRPr="00260FA6">
        <w:rPr>
          <w:rFonts w:ascii="Times New Roman" w:eastAsiaTheme="minorHAnsi" w:hAnsi="Times New Roman"/>
          <w:bCs/>
          <w:sz w:val="28"/>
          <w:szCs w:val="28"/>
        </w:rPr>
        <w:t>Настоящий Порядок устанавливает цели, условия предоставления и распределения субсидии из областного бюджета Ленинградской области (далее - областной бюджет) бюджетам муниципальных районов (городского округа) Ленинградской области (далее - муниципальные образования) на предоставление частичной компенсации стоимости путевок в муниципальные организации отдыха детей и их оздоровления в рамках государственной программы Ленинградской области "Современное образование Ленинградской области" (далее - субсидия).</w:t>
      </w:r>
      <w:proofErr w:type="gramEnd"/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>1.2. Предоставление субсидии осуществляется в соответствии со сводной бюджетной росписью областного бюд</w:t>
      </w:r>
      <w:bookmarkStart w:id="0" w:name="_GoBack"/>
      <w:bookmarkEnd w:id="0"/>
      <w:r w:rsidRPr="00260FA6">
        <w:rPr>
          <w:rFonts w:ascii="Times New Roman" w:eastAsiaTheme="minorHAnsi" w:hAnsi="Times New Roman"/>
          <w:bCs/>
          <w:sz w:val="28"/>
          <w:szCs w:val="28"/>
        </w:rPr>
        <w:t>жета Ленинградской области на соответствующий финансовый год и на плановый период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общего и профессионального образования Ленинградской области (далее - Комитет).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1.3. </w:t>
      </w:r>
      <w:proofErr w:type="gramStart"/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Субсидия предоставляется на </w:t>
      </w:r>
      <w:proofErr w:type="spellStart"/>
      <w:r w:rsidRPr="00260FA6">
        <w:rPr>
          <w:rFonts w:ascii="Times New Roman" w:eastAsiaTheme="minorHAnsi" w:hAnsi="Times New Roman"/>
          <w:bCs/>
          <w:sz w:val="28"/>
          <w:szCs w:val="28"/>
        </w:rPr>
        <w:t>софинансирование</w:t>
      </w:r>
      <w:proofErr w:type="spellEnd"/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 расходных обязательств муниципальных образований, возникающих при осуществлении полномочий органов местного самоуправления по вопросам местного значения в соответствии с </w:t>
      </w:r>
      <w:hyperlink r:id="rId5" w:history="1">
        <w:r w:rsidRPr="00260FA6">
          <w:rPr>
            <w:rFonts w:ascii="Times New Roman" w:eastAsiaTheme="minorHAnsi" w:hAnsi="Times New Roman"/>
            <w:bCs/>
            <w:sz w:val="28"/>
            <w:szCs w:val="28"/>
          </w:rPr>
          <w:t>пунктом 11 части 1 статьи 15</w:t>
        </w:r>
      </w:hyperlink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 и </w:t>
      </w:r>
      <w:hyperlink r:id="rId6" w:history="1">
        <w:r w:rsidRPr="00260FA6">
          <w:rPr>
            <w:rFonts w:ascii="Times New Roman" w:eastAsiaTheme="minorHAnsi" w:hAnsi="Times New Roman"/>
            <w:bCs/>
            <w:sz w:val="28"/>
            <w:szCs w:val="28"/>
          </w:rPr>
          <w:t>пунктом 13 части 1 статьи 16</w:t>
        </w:r>
      </w:hyperlink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 Федерального закона от 6 октября 2003 года </w:t>
      </w:r>
      <w:r>
        <w:rPr>
          <w:rFonts w:ascii="Times New Roman" w:eastAsiaTheme="minorHAnsi" w:hAnsi="Times New Roman"/>
          <w:bCs/>
          <w:sz w:val="28"/>
          <w:szCs w:val="28"/>
        </w:rPr>
        <w:t>№</w:t>
      </w:r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 131-ФЗ "Об общих принципах организации местного самоуправления в Российской Федерации".</w:t>
      </w:r>
      <w:proofErr w:type="gramEnd"/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2. Цели и условия предоставления субсидии </w:t>
      </w:r>
      <w:proofErr w:type="gramStart"/>
      <w:r w:rsidRPr="00260FA6">
        <w:rPr>
          <w:rFonts w:ascii="Times New Roman" w:eastAsiaTheme="minorHAnsi" w:hAnsi="Times New Roman"/>
          <w:bCs/>
          <w:sz w:val="28"/>
          <w:szCs w:val="28"/>
        </w:rPr>
        <w:t>муниципальным</w:t>
      </w:r>
      <w:proofErr w:type="gramEnd"/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образованиям, критерии отбора </w:t>
      </w:r>
      <w:proofErr w:type="gramStart"/>
      <w:r w:rsidRPr="00260FA6">
        <w:rPr>
          <w:rFonts w:ascii="Times New Roman" w:eastAsiaTheme="minorHAnsi" w:hAnsi="Times New Roman"/>
          <w:bCs/>
          <w:sz w:val="28"/>
          <w:szCs w:val="28"/>
        </w:rPr>
        <w:t>муниципальных</w:t>
      </w:r>
      <w:proofErr w:type="gramEnd"/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>образований для предоставления субсидии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>2.1. Субсидия предоставляется в целях увеличения охвата детей отдыхом и их оздоровления.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Субсидия направляется в муниципальные образования для предоставления частичной компенсации стоимости путевок в муниципальные организации отдыха детей и их оздоровления сезонного действия 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 w:rsidRPr="00260FA6">
        <w:rPr>
          <w:rFonts w:ascii="Times New Roman" w:eastAsiaTheme="minorHAnsi" w:hAnsi="Times New Roman"/>
          <w:bCs/>
          <w:sz w:val="28"/>
          <w:szCs w:val="28"/>
        </w:rPr>
        <w:t>оздоровления</w:t>
      </w:r>
      <w:proofErr w:type="gramEnd"/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 обучающихся в каникулярное время с круглосуточным пребыванием, данного муниципального образования (далее - муниципальные организации отдыха детей и их оздоровления) гражданам, состоящим в трудовых отношениях с организациями независимо от организационно-правовых форм и форм собственности.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lastRenderedPageBreak/>
        <w:t>Частичная компенсация стоимости путевок в муниципальные организации отдыха детей и их оздоровления предоставляется в соответствии с Порядком, утвержденным нормативным правовым актом муниципального образования.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>Порядок предоставления частичной компенсации стоимости путевок в муниципальные организации отдыха детей и их оздоровления разрабатывается с учетом методических рекомендаций, утвержденных правовым актом Комитета.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>Результатами использования субсидии являются: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>количество путевок в организации отдыха детей сезонного действия или круглогодичного действия, зарегистрированные на территории Ленинградской области;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>количество упаковок для проведения C-витаминизации третьих блюд в оздоровительных лагерях всех типов и видов.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>Значения результатов использования субсидии определяются на основании заявок муниципальных образований и устанавливаются в соглашении о предоставлении субсидии, заключаемом между Комитетом и администрацией муниципального образования (далее - соглашение).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>Детализированные требования к достижению значений результатов использования субсидии устанавливаются в соглашении.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2.2. Условия предоставления субсидии устанавливаются в соответствии с </w:t>
      </w:r>
      <w:hyperlink r:id="rId7" w:history="1">
        <w:r w:rsidRPr="00260FA6">
          <w:rPr>
            <w:rFonts w:ascii="Times New Roman" w:eastAsiaTheme="minorHAnsi" w:hAnsi="Times New Roman"/>
            <w:bCs/>
            <w:sz w:val="28"/>
            <w:szCs w:val="28"/>
          </w:rPr>
          <w:t>пунктом 2.7</w:t>
        </w:r>
      </w:hyperlink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</w:t>
      </w:r>
      <w:r w:rsidRPr="00260FA6">
        <w:rPr>
          <w:rFonts w:ascii="Times New Roman" w:eastAsiaTheme="minorHAnsi" w:hAnsi="Times New Roman"/>
          <w:bCs/>
          <w:sz w:val="28"/>
          <w:szCs w:val="28"/>
        </w:rPr>
        <w:t>№</w:t>
      </w:r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 257 (далее - Правила).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2.3. Соглашение заключается в информационной системе "Управление бюджетным процессом Ленинградской области" по типовой форме, утвержденной Комитетом финансов Ленинградской области, в соответствии с </w:t>
      </w:r>
      <w:hyperlink r:id="rId8" w:history="1">
        <w:r w:rsidRPr="00260FA6">
          <w:rPr>
            <w:rFonts w:ascii="Times New Roman" w:eastAsiaTheme="minorHAnsi" w:hAnsi="Times New Roman"/>
            <w:bCs/>
            <w:sz w:val="28"/>
            <w:szCs w:val="28"/>
          </w:rPr>
          <w:t>пунктами 4.1</w:t>
        </w:r>
      </w:hyperlink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 и </w:t>
      </w:r>
      <w:hyperlink r:id="rId9" w:history="1">
        <w:r w:rsidRPr="00260FA6">
          <w:rPr>
            <w:rFonts w:ascii="Times New Roman" w:eastAsiaTheme="minorHAnsi" w:hAnsi="Times New Roman"/>
            <w:bCs/>
            <w:sz w:val="28"/>
            <w:szCs w:val="28"/>
          </w:rPr>
          <w:t>4.2</w:t>
        </w:r>
      </w:hyperlink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 Правил.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bookmarkStart w:id="1" w:name="Par28"/>
      <w:bookmarkEnd w:id="1"/>
      <w:r w:rsidRPr="00260FA6">
        <w:rPr>
          <w:rFonts w:ascii="Times New Roman" w:eastAsiaTheme="minorHAnsi" w:hAnsi="Times New Roman"/>
          <w:bCs/>
          <w:sz w:val="28"/>
          <w:szCs w:val="28"/>
        </w:rPr>
        <w:t>2.4. Критериями, которым должны соответствовать муниципальные образования для предоставления субсидии, являются: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>наличие муниципальных организаций отдыха детей и их оздоровления;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>наличие детей, нуждающихся в отдыхе в муниципальных организациях отдыха детей и их оздоровления;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>наличие муниципальной программы, включающей мероприятия по организации отдыха детей сезонного или круглосуточного действия.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>3. Порядок распределения субсидии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bookmarkStart w:id="2" w:name="Par35"/>
      <w:bookmarkEnd w:id="2"/>
      <w:r w:rsidRPr="00260FA6">
        <w:rPr>
          <w:rFonts w:ascii="Times New Roman" w:eastAsiaTheme="minorHAnsi" w:hAnsi="Times New Roman"/>
          <w:bCs/>
          <w:sz w:val="28"/>
          <w:szCs w:val="28"/>
        </w:rPr>
        <w:t>3.1. Комитет не менее чем за 10 рабочих дней до начала приема заявок информирует в письменном виде администрации муниципальных образований о сроках приема заявок на предоставление субсидии (далее - заявка).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bookmarkStart w:id="3" w:name="Par36"/>
      <w:bookmarkEnd w:id="3"/>
      <w:r w:rsidRPr="00260FA6">
        <w:rPr>
          <w:rFonts w:ascii="Times New Roman" w:eastAsiaTheme="minorHAnsi" w:hAnsi="Times New Roman"/>
          <w:bCs/>
          <w:sz w:val="28"/>
          <w:szCs w:val="28"/>
        </w:rPr>
        <w:t>Даты начала и окончания приема заявок устанавливаются правовым актом Комитета.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>Муниципальные образования в установленные сроки представляют в Комитет заявку по форме, утвержденной нормативным правовым актом Комитета, с приложением следующих документов: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>расчет размера субсидии по форме, утвержденной правовым актом Комитета;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копия правового акта муниципального образования, утверждающего перечень мероприятий, в целях </w:t>
      </w:r>
      <w:proofErr w:type="spellStart"/>
      <w:r w:rsidRPr="00260FA6">
        <w:rPr>
          <w:rFonts w:ascii="Times New Roman" w:eastAsiaTheme="minorHAnsi" w:hAnsi="Times New Roman"/>
          <w:bCs/>
          <w:sz w:val="28"/>
          <w:szCs w:val="28"/>
        </w:rPr>
        <w:t>софинансирования</w:t>
      </w:r>
      <w:proofErr w:type="spellEnd"/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 которых предоставляется субсидия, за подписью руководителя муниципального органа управления образованием.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3.2. Комитет в течение трех рабочих дней </w:t>
      </w:r>
      <w:proofErr w:type="gramStart"/>
      <w:r w:rsidRPr="00260FA6">
        <w:rPr>
          <w:rFonts w:ascii="Times New Roman" w:eastAsiaTheme="minorHAnsi" w:hAnsi="Times New Roman"/>
          <w:bCs/>
          <w:sz w:val="28"/>
          <w:szCs w:val="28"/>
        </w:rPr>
        <w:t>с даты поступления</w:t>
      </w:r>
      <w:proofErr w:type="gramEnd"/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 заявки осуществляет проверку заявки на соответствие </w:t>
      </w:r>
      <w:hyperlink w:anchor="Par35" w:history="1">
        <w:r w:rsidRPr="00260FA6">
          <w:rPr>
            <w:rFonts w:ascii="Times New Roman" w:eastAsiaTheme="minorHAnsi" w:hAnsi="Times New Roman"/>
            <w:bCs/>
            <w:sz w:val="28"/>
            <w:szCs w:val="28"/>
          </w:rPr>
          <w:t>пункту 3.1</w:t>
        </w:r>
      </w:hyperlink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 настоящего Порядка.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Заявки, не соответствующие указанным требованиям, к рассмотрению не принимаются. Замечания Комитета могут быть устранены в пределах срока, определяемого в соответствии с </w:t>
      </w:r>
      <w:hyperlink w:anchor="Par35" w:history="1">
        <w:r w:rsidRPr="00260FA6">
          <w:rPr>
            <w:rFonts w:ascii="Times New Roman" w:eastAsiaTheme="minorHAnsi" w:hAnsi="Times New Roman"/>
            <w:bCs/>
            <w:sz w:val="28"/>
            <w:szCs w:val="28"/>
          </w:rPr>
          <w:t>пунктом 3.1</w:t>
        </w:r>
      </w:hyperlink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 настоящего Порядка.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bookmarkStart w:id="4" w:name="Par42"/>
      <w:bookmarkEnd w:id="4"/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3.3. Комитет не позднее 15 рабочих дней </w:t>
      </w:r>
      <w:proofErr w:type="gramStart"/>
      <w:r w:rsidRPr="00260FA6">
        <w:rPr>
          <w:rFonts w:ascii="Times New Roman" w:eastAsiaTheme="minorHAnsi" w:hAnsi="Times New Roman"/>
          <w:bCs/>
          <w:sz w:val="28"/>
          <w:szCs w:val="28"/>
        </w:rPr>
        <w:t>с даты окончания</w:t>
      </w:r>
      <w:proofErr w:type="gramEnd"/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 приема заявок, установленной в соответствии с </w:t>
      </w:r>
      <w:hyperlink w:anchor="Par36" w:history="1">
        <w:r w:rsidRPr="00260FA6">
          <w:rPr>
            <w:rFonts w:ascii="Times New Roman" w:eastAsiaTheme="minorHAnsi" w:hAnsi="Times New Roman"/>
            <w:bCs/>
            <w:sz w:val="28"/>
            <w:szCs w:val="28"/>
          </w:rPr>
          <w:t>абзацем вторым пункта 3.1</w:t>
        </w:r>
      </w:hyperlink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 настоящего Порядка, рассматривает заявки и принимает решение об отборе заявок, соответствующих критерию отбора, установленному </w:t>
      </w:r>
      <w:hyperlink w:anchor="Par28" w:history="1">
        <w:r w:rsidRPr="00260FA6">
          <w:rPr>
            <w:rFonts w:ascii="Times New Roman" w:eastAsiaTheme="minorHAnsi" w:hAnsi="Times New Roman"/>
            <w:bCs/>
            <w:sz w:val="28"/>
            <w:szCs w:val="28"/>
          </w:rPr>
          <w:t>пунктом 2.4</w:t>
        </w:r>
      </w:hyperlink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 настоящего Порядка.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>3.4. Отбор муниципальных образований для предоставления субсидии осуществляется на очередной финансовый год и на плановый период.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3.5. Комитет на основании решения, принимаемого в соответствии с </w:t>
      </w:r>
      <w:hyperlink w:anchor="Par42" w:history="1">
        <w:r w:rsidRPr="00260FA6">
          <w:rPr>
            <w:rFonts w:ascii="Times New Roman" w:eastAsiaTheme="minorHAnsi" w:hAnsi="Times New Roman"/>
            <w:bCs/>
            <w:sz w:val="28"/>
            <w:szCs w:val="28"/>
          </w:rPr>
          <w:t>пунктом 3.3</w:t>
        </w:r>
      </w:hyperlink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 настоящего Порядка, осуществляет подготовку предложений по распределению субсидии бюджетам муниципальных образований (далее - предложения по распределению субсидии).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3.6. Распределение </w:t>
      </w:r>
      <w:proofErr w:type="gramStart"/>
      <w:r w:rsidRPr="00260FA6">
        <w:rPr>
          <w:rFonts w:ascii="Times New Roman" w:eastAsiaTheme="minorHAnsi" w:hAnsi="Times New Roman"/>
          <w:bCs/>
          <w:sz w:val="28"/>
          <w:szCs w:val="28"/>
        </w:rPr>
        <w:t>субсидии</w:t>
      </w:r>
      <w:proofErr w:type="gramEnd"/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 между муниципальными образованиями исходя из расчетного объема средств, необходимого для достижения значений результатов использования субсидии, осуществляется по формуле: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proofErr w:type="spellStart"/>
      <w:r w:rsidRPr="00260FA6">
        <w:rPr>
          <w:rFonts w:ascii="Times New Roman" w:eastAsiaTheme="minorHAnsi" w:hAnsi="Times New Roman"/>
          <w:bCs/>
          <w:sz w:val="28"/>
          <w:szCs w:val="28"/>
        </w:rPr>
        <w:t>С</w:t>
      </w:r>
      <w:proofErr w:type="gramStart"/>
      <w:r w:rsidRPr="00260FA6">
        <w:rPr>
          <w:rFonts w:ascii="Times New Roman" w:eastAsiaTheme="minorHAnsi" w:hAnsi="Times New Roman"/>
          <w:bCs/>
          <w:sz w:val="28"/>
          <w:szCs w:val="28"/>
          <w:vertAlign w:val="subscript"/>
        </w:rPr>
        <w:t>i</w:t>
      </w:r>
      <w:proofErr w:type="spellEnd"/>
      <w:proofErr w:type="gramEnd"/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 = </w:t>
      </w:r>
      <w:proofErr w:type="spellStart"/>
      <w:r w:rsidRPr="00260FA6">
        <w:rPr>
          <w:rFonts w:ascii="Times New Roman" w:eastAsiaTheme="minorHAnsi" w:hAnsi="Times New Roman"/>
          <w:bCs/>
          <w:sz w:val="28"/>
          <w:szCs w:val="28"/>
        </w:rPr>
        <w:t>РОС</w:t>
      </w:r>
      <w:r w:rsidRPr="00260FA6">
        <w:rPr>
          <w:rFonts w:ascii="Times New Roman" w:eastAsiaTheme="minorHAnsi" w:hAnsi="Times New Roman"/>
          <w:bCs/>
          <w:sz w:val="28"/>
          <w:szCs w:val="28"/>
          <w:vertAlign w:val="subscript"/>
        </w:rPr>
        <w:t>i</w:t>
      </w:r>
      <w:proofErr w:type="spellEnd"/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 x </w:t>
      </w:r>
      <w:proofErr w:type="spellStart"/>
      <w:r w:rsidRPr="00260FA6">
        <w:rPr>
          <w:rFonts w:ascii="Times New Roman" w:eastAsiaTheme="minorHAnsi" w:hAnsi="Times New Roman"/>
          <w:bCs/>
          <w:sz w:val="28"/>
          <w:szCs w:val="28"/>
        </w:rPr>
        <w:t>УС</w:t>
      </w:r>
      <w:r w:rsidRPr="00260FA6">
        <w:rPr>
          <w:rFonts w:ascii="Times New Roman" w:eastAsiaTheme="minorHAnsi" w:hAnsi="Times New Roman"/>
          <w:bCs/>
          <w:sz w:val="28"/>
          <w:szCs w:val="28"/>
          <w:vertAlign w:val="subscript"/>
        </w:rPr>
        <w:t>i</w:t>
      </w:r>
      <w:proofErr w:type="spellEnd"/>
      <w:r w:rsidRPr="00260FA6">
        <w:rPr>
          <w:rFonts w:ascii="Times New Roman" w:eastAsiaTheme="minorHAnsi" w:hAnsi="Times New Roman"/>
          <w:bCs/>
          <w:sz w:val="28"/>
          <w:szCs w:val="28"/>
        </w:rPr>
        <w:t>,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>где: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spellStart"/>
      <w:r w:rsidRPr="00260FA6">
        <w:rPr>
          <w:rFonts w:ascii="Times New Roman" w:eastAsiaTheme="minorHAnsi" w:hAnsi="Times New Roman"/>
          <w:bCs/>
          <w:sz w:val="28"/>
          <w:szCs w:val="28"/>
        </w:rPr>
        <w:t>С</w:t>
      </w:r>
      <w:proofErr w:type="gramStart"/>
      <w:r w:rsidRPr="00260FA6">
        <w:rPr>
          <w:rFonts w:ascii="Times New Roman" w:eastAsiaTheme="minorHAnsi" w:hAnsi="Times New Roman"/>
          <w:bCs/>
          <w:sz w:val="28"/>
          <w:szCs w:val="28"/>
          <w:vertAlign w:val="subscript"/>
        </w:rPr>
        <w:t>i</w:t>
      </w:r>
      <w:proofErr w:type="spellEnd"/>
      <w:proofErr w:type="gramEnd"/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 - объем субсидии бюджету i-</w:t>
      </w:r>
      <w:proofErr w:type="spellStart"/>
      <w:r w:rsidRPr="00260FA6">
        <w:rPr>
          <w:rFonts w:ascii="Times New Roman" w:eastAsiaTheme="minorHAnsi" w:hAnsi="Times New Roman"/>
          <w:bCs/>
          <w:sz w:val="28"/>
          <w:szCs w:val="28"/>
        </w:rPr>
        <w:t>го</w:t>
      </w:r>
      <w:proofErr w:type="spellEnd"/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 муниципального образования;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spellStart"/>
      <w:r w:rsidRPr="00260FA6">
        <w:rPr>
          <w:rFonts w:ascii="Times New Roman" w:eastAsiaTheme="minorHAnsi" w:hAnsi="Times New Roman"/>
          <w:bCs/>
          <w:sz w:val="28"/>
          <w:szCs w:val="28"/>
        </w:rPr>
        <w:t>УС</w:t>
      </w:r>
      <w:proofErr w:type="gramStart"/>
      <w:r w:rsidRPr="00260FA6">
        <w:rPr>
          <w:rFonts w:ascii="Times New Roman" w:eastAsiaTheme="minorHAnsi" w:hAnsi="Times New Roman"/>
          <w:bCs/>
          <w:sz w:val="28"/>
          <w:szCs w:val="28"/>
          <w:vertAlign w:val="subscript"/>
        </w:rPr>
        <w:t>i</w:t>
      </w:r>
      <w:proofErr w:type="spellEnd"/>
      <w:proofErr w:type="gramEnd"/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 - предельный уровень </w:t>
      </w:r>
      <w:proofErr w:type="spellStart"/>
      <w:r w:rsidRPr="00260FA6">
        <w:rPr>
          <w:rFonts w:ascii="Times New Roman" w:eastAsiaTheme="minorHAnsi" w:hAnsi="Times New Roman"/>
          <w:bCs/>
          <w:sz w:val="28"/>
          <w:szCs w:val="28"/>
        </w:rPr>
        <w:t>софинансирования</w:t>
      </w:r>
      <w:proofErr w:type="spellEnd"/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 для i-</w:t>
      </w:r>
      <w:proofErr w:type="spellStart"/>
      <w:r w:rsidRPr="00260FA6">
        <w:rPr>
          <w:rFonts w:ascii="Times New Roman" w:eastAsiaTheme="minorHAnsi" w:hAnsi="Times New Roman"/>
          <w:bCs/>
          <w:sz w:val="28"/>
          <w:szCs w:val="28"/>
        </w:rPr>
        <w:t>го</w:t>
      </w:r>
      <w:proofErr w:type="spellEnd"/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 муниципального образования, устанавливаемый распоряжением Правительства Ленинградской области;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spellStart"/>
      <w:r w:rsidRPr="00260FA6">
        <w:rPr>
          <w:rFonts w:ascii="Times New Roman" w:eastAsiaTheme="minorHAnsi" w:hAnsi="Times New Roman"/>
          <w:bCs/>
          <w:sz w:val="28"/>
          <w:szCs w:val="28"/>
        </w:rPr>
        <w:t>РОС</w:t>
      </w:r>
      <w:proofErr w:type="gramStart"/>
      <w:r w:rsidRPr="00260FA6">
        <w:rPr>
          <w:rFonts w:ascii="Times New Roman" w:eastAsiaTheme="minorHAnsi" w:hAnsi="Times New Roman"/>
          <w:bCs/>
          <w:sz w:val="28"/>
          <w:szCs w:val="28"/>
          <w:vertAlign w:val="subscript"/>
        </w:rPr>
        <w:t>i</w:t>
      </w:r>
      <w:proofErr w:type="spellEnd"/>
      <w:proofErr w:type="gramEnd"/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 - расчетный объем расходов, необходимый для достижения значений результатов использования субсидии i-м муниципальным образованием, определяемый по формуле: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proofErr w:type="spellStart"/>
      <w:r w:rsidRPr="00260FA6">
        <w:rPr>
          <w:rFonts w:ascii="Times New Roman" w:eastAsiaTheme="minorHAnsi" w:hAnsi="Times New Roman"/>
          <w:bCs/>
          <w:sz w:val="28"/>
          <w:szCs w:val="28"/>
        </w:rPr>
        <w:t>РОС</w:t>
      </w:r>
      <w:r w:rsidRPr="00260FA6">
        <w:rPr>
          <w:rFonts w:ascii="Times New Roman" w:eastAsiaTheme="minorHAnsi" w:hAnsi="Times New Roman"/>
          <w:bCs/>
          <w:sz w:val="28"/>
          <w:szCs w:val="28"/>
          <w:vertAlign w:val="subscript"/>
        </w:rPr>
        <w:t>i</w:t>
      </w:r>
      <w:proofErr w:type="spellEnd"/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 = </w:t>
      </w:r>
      <w:proofErr w:type="spellStart"/>
      <w:proofErr w:type="gramStart"/>
      <w:r w:rsidRPr="00260FA6">
        <w:rPr>
          <w:rFonts w:ascii="Times New Roman" w:eastAsiaTheme="minorHAnsi" w:hAnsi="Times New Roman"/>
          <w:bCs/>
          <w:sz w:val="28"/>
          <w:szCs w:val="28"/>
        </w:rPr>
        <w:t>C</w:t>
      </w:r>
      <w:proofErr w:type="gramEnd"/>
      <w:r w:rsidRPr="00260FA6">
        <w:rPr>
          <w:rFonts w:ascii="Times New Roman" w:eastAsiaTheme="minorHAnsi" w:hAnsi="Times New Roman"/>
          <w:bCs/>
          <w:sz w:val="28"/>
          <w:szCs w:val="28"/>
        </w:rPr>
        <w:t>д</w:t>
      </w:r>
      <w:proofErr w:type="spellEnd"/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 x </w:t>
      </w:r>
      <w:proofErr w:type="spellStart"/>
      <w:r w:rsidRPr="00260FA6">
        <w:rPr>
          <w:rFonts w:ascii="Times New Roman" w:eastAsiaTheme="minorHAnsi" w:hAnsi="Times New Roman"/>
          <w:bCs/>
          <w:sz w:val="28"/>
          <w:szCs w:val="28"/>
        </w:rPr>
        <w:t>Nri</w:t>
      </w:r>
      <w:proofErr w:type="spellEnd"/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 x k,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>где: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spellStart"/>
      <w:proofErr w:type="gramStart"/>
      <w:r w:rsidRPr="00260FA6">
        <w:rPr>
          <w:rFonts w:ascii="Times New Roman" w:eastAsiaTheme="minorHAnsi" w:hAnsi="Times New Roman"/>
          <w:bCs/>
          <w:sz w:val="28"/>
          <w:szCs w:val="28"/>
        </w:rPr>
        <w:t>C</w:t>
      </w:r>
      <w:proofErr w:type="gramEnd"/>
      <w:r w:rsidRPr="00260FA6">
        <w:rPr>
          <w:rFonts w:ascii="Times New Roman" w:eastAsiaTheme="minorHAnsi" w:hAnsi="Times New Roman"/>
          <w:bCs/>
          <w:sz w:val="28"/>
          <w:szCs w:val="28"/>
        </w:rPr>
        <w:t>д</w:t>
      </w:r>
      <w:proofErr w:type="spellEnd"/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 - стоимость путевки, утвержденная постановлением Правительства Ленинградской области;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spellStart"/>
      <w:r w:rsidRPr="00260FA6">
        <w:rPr>
          <w:rFonts w:ascii="Times New Roman" w:eastAsiaTheme="minorHAnsi" w:hAnsi="Times New Roman"/>
          <w:bCs/>
          <w:sz w:val="28"/>
          <w:szCs w:val="28"/>
        </w:rPr>
        <w:t>Nri</w:t>
      </w:r>
      <w:proofErr w:type="spellEnd"/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 - количество детей школьного возраста от шести до 17 лет (включительно) работающих родителей, которых планируется направить на отдых в каникулярное время в i-м муниципальном образовании;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>k - доля частичной оплаты расчетной стоимости путевки в организации отдыха детей сезонного действия или круглогодичного действия Ленинградской области за счет средств областного бюджета Ленинградской области работающим гражданам по трудовому договору (служебному контракту) в организациях независимо от организационно-правовых форм и форм собственности, определяемой постановлением Правительства Ленинградской области.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3.7. Комитет направляет предложения по распределению субсидии в Комитет финансов Ленинградской области в срок, установленный планом-графиком подготовки проекта областного бюджета Ленинградской области </w:t>
      </w:r>
      <w:proofErr w:type="gramStart"/>
      <w:r w:rsidRPr="00260FA6">
        <w:rPr>
          <w:rFonts w:ascii="Times New Roman" w:eastAsiaTheme="minorHAnsi" w:hAnsi="Times New Roman"/>
          <w:bCs/>
          <w:sz w:val="28"/>
          <w:szCs w:val="28"/>
        </w:rPr>
        <w:t>и(</w:t>
      </w:r>
      <w:proofErr w:type="gramEnd"/>
      <w:r w:rsidRPr="00260FA6">
        <w:rPr>
          <w:rFonts w:ascii="Times New Roman" w:eastAsiaTheme="minorHAnsi" w:hAnsi="Times New Roman"/>
          <w:bCs/>
          <w:sz w:val="28"/>
          <w:szCs w:val="28"/>
        </w:rPr>
        <w:t>или) проекта о внесении изменений в областной закон об областном бюджете Ленинградской области.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>Распределение субсидии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период.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3.8. </w:t>
      </w:r>
      <w:proofErr w:type="gramStart"/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При возникновении не распределенного между муниципальными образованиями объема субсидии, превышающего предельные значения, установленные </w:t>
      </w:r>
      <w:hyperlink r:id="rId10" w:history="1">
        <w:r w:rsidRPr="00260FA6">
          <w:rPr>
            <w:rFonts w:ascii="Times New Roman" w:eastAsiaTheme="minorHAnsi" w:hAnsi="Times New Roman"/>
            <w:bCs/>
            <w:sz w:val="28"/>
            <w:szCs w:val="28"/>
          </w:rPr>
          <w:t>пунктом 3.4</w:t>
        </w:r>
      </w:hyperlink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 Правил,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период.</w:t>
      </w:r>
      <w:proofErr w:type="gramEnd"/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>3.9. Утвержденный для муниципального образования объем субсидии может быть пересмотрен: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>при уточнении планового общего объема расходов, необходимого для достижения значений результатов использования субсидии;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260FA6">
        <w:rPr>
          <w:rFonts w:ascii="Times New Roman" w:eastAsiaTheme="minorHAnsi" w:hAnsi="Times New Roman"/>
          <w:bCs/>
          <w:sz w:val="28"/>
          <w:szCs w:val="28"/>
        </w:rPr>
        <w:t>при увеличении общего объема бюджетных ассигнований областного бюджета Ленинградской области, предусмотренного для предоставления субсидии;</w:t>
      </w:r>
      <w:proofErr w:type="gramEnd"/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без внесения изменений в областной закон об областном бюджете Ленинградской области на текущий финансовый год и на плановый период в случаях, предусмотренных </w:t>
      </w:r>
      <w:hyperlink r:id="rId11" w:history="1">
        <w:r w:rsidRPr="00260FA6">
          <w:rPr>
            <w:rFonts w:ascii="Times New Roman" w:eastAsiaTheme="minorHAnsi" w:hAnsi="Times New Roman"/>
            <w:bCs/>
            <w:sz w:val="28"/>
            <w:szCs w:val="28"/>
          </w:rPr>
          <w:t>пунктами 5</w:t>
        </w:r>
      </w:hyperlink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 и </w:t>
      </w:r>
      <w:hyperlink r:id="rId12" w:history="1">
        <w:r w:rsidRPr="00260FA6">
          <w:rPr>
            <w:rFonts w:ascii="Times New Roman" w:eastAsiaTheme="minorHAnsi" w:hAnsi="Times New Roman"/>
            <w:bCs/>
            <w:sz w:val="28"/>
            <w:szCs w:val="28"/>
          </w:rPr>
          <w:t>6 статьи 9</w:t>
        </w:r>
      </w:hyperlink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 областного закона от 14 октября 2019 года </w:t>
      </w:r>
      <w:r w:rsidR="00EB42BC">
        <w:rPr>
          <w:rFonts w:ascii="Times New Roman" w:eastAsiaTheme="minorHAnsi" w:hAnsi="Times New Roman"/>
          <w:bCs/>
          <w:sz w:val="28"/>
          <w:szCs w:val="28"/>
        </w:rPr>
        <w:t>№</w:t>
      </w:r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 75-оз "О межбюджетных отношениях в Ленинградской области".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>4. Порядок расходования субсидии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>4.1. Предоставление субсидии осуществляется на основании соглашения.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Соглашение заключается на основании утвержденного распределения субсидии между муниципальными образованиями в срок, установленный </w:t>
      </w:r>
      <w:hyperlink r:id="rId13" w:history="1">
        <w:r w:rsidRPr="00260FA6">
          <w:rPr>
            <w:rFonts w:ascii="Times New Roman" w:eastAsiaTheme="minorHAnsi" w:hAnsi="Times New Roman"/>
            <w:bCs/>
            <w:sz w:val="28"/>
            <w:szCs w:val="28"/>
          </w:rPr>
          <w:t>пунктом 4.3</w:t>
        </w:r>
      </w:hyperlink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 Правил.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>Соглашение заключается на срок, который не может быть менее срока, на который в установленном порядке утверждено распределение субсидии между муниципальными образованиями.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4.2. Муниципальное образование при заключении соглашения представляет документы в соответствии с </w:t>
      </w:r>
      <w:hyperlink r:id="rId14" w:history="1">
        <w:r w:rsidRPr="00260FA6">
          <w:rPr>
            <w:rFonts w:ascii="Times New Roman" w:eastAsiaTheme="minorHAnsi" w:hAnsi="Times New Roman"/>
            <w:bCs/>
            <w:sz w:val="28"/>
            <w:szCs w:val="28"/>
          </w:rPr>
          <w:t>пунктом 4.4</w:t>
        </w:r>
      </w:hyperlink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 Правил.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>4.3. Перечисление субсидии осуществляется Комитетом в установленном порядке на единый счет местного бюджета, открытый финансовому органу соответствующего муниципального образования в Управлении Федерального казначейства по Ленинградской области.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>Субсидия перечисляется исходя из потребности в осуществлении расходов.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>Муниципальное образование посредством использования информационной системы "Управление бюджетным процессом Ленинградской области" представляет в Комитет платежный документ с одновременным представлением документов, подтверждающих потребность в осуществлении расходов.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lastRenderedPageBreak/>
        <w:t>Исчерпывающий перечень документов, подтверждающих потребность в оплате денежных обязательств по расходам муниципального образования, источником финансового обеспечения которых является субсидия, устанавливается в соглашении.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Перечисление субсидии из областного бюджета местному бюджету в пределах суммы, необходимой для оплаты денежных обязательств получателя средств местного бюджета, соответствующих целям предоставления субсидии, осуществляется Комитетом не позднее седьмого рабочего дня </w:t>
      </w:r>
      <w:proofErr w:type="gramStart"/>
      <w:r w:rsidRPr="00260FA6">
        <w:rPr>
          <w:rFonts w:ascii="Times New Roman" w:eastAsiaTheme="minorHAnsi" w:hAnsi="Times New Roman"/>
          <w:bCs/>
          <w:sz w:val="28"/>
          <w:szCs w:val="28"/>
        </w:rPr>
        <w:t>с даты поступления</w:t>
      </w:r>
      <w:proofErr w:type="gramEnd"/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 оформленного надлежащим образом платежного документа.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>4.4. Средства субсидии, не использованные в текущем финансовом году, подлежат возврату в областной бюджет в порядке и в сроки, установленные правовым актом Комитета финансов Ленинградской области.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>4.5. Принятие решения о подтверждении потребности в текущем году в остатках субсидии, предоставленных в отчетном году, допускается однократно в течение срока действия соглашения.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>4.6. Комитет обеспечивает соблюдение муниципальными образованиями целей, порядка и условий предоставления субсидии (в том числе достижения значений результатов использования субсидии) в соответствии с бюджетным законодательством Российской Федерации.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260FA6">
        <w:rPr>
          <w:rFonts w:ascii="Times New Roman" w:eastAsiaTheme="minorHAnsi" w:hAnsi="Times New Roman"/>
          <w:bCs/>
          <w:sz w:val="28"/>
          <w:szCs w:val="28"/>
        </w:rPr>
        <w:t>Контроль за</w:t>
      </w:r>
      <w:proofErr w:type="gramEnd"/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 соблюдением целей, порядка и условий предоставления субсидии, а также за соблюдением условий соглашений и условий контрактов (договоров, соглашений), источником финансового обеспечения которых является субсидия,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260FA6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>4.7. Средства субсидии, использованные муниципальным образованием не по целевому назначению, подлежат возврату в областной бюджет в порядке, установленном действующим законодательством.</w:t>
      </w:r>
    </w:p>
    <w:p w:rsidR="00AA281B" w:rsidRPr="00260FA6" w:rsidRDefault="00260FA6" w:rsidP="0026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</w:rPr>
      </w:pPr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4.8. В случае </w:t>
      </w:r>
      <w:proofErr w:type="spellStart"/>
      <w:r w:rsidRPr="00260FA6">
        <w:rPr>
          <w:rFonts w:ascii="Times New Roman" w:eastAsiaTheme="minorHAnsi" w:hAnsi="Times New Roman"/>
          <w:bCs/>
          <w:sz w:val="28"/>
          <w:szCs w:val="28"/>
        </w:rPr>
        <w:t>недостижения</w:t>
      </w:r>
      <w:proofErr w:type="spellEnd"/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 муниципальным образованием значений результатов использования субсидии к муниципальному образованию применяются меры ответственности, предусмотренные </w:t>
      </w:r>
      <w:hyperlink r:id="rId15" w:history="1">
        <w:r w:rsidRPr="00260FA6">
          <w:rPr>
            <w:rFonts w:ascii="Times New Roman" w:eastAsiaTheme="minorHAnsi" w:hAnsi="Times New Roman"/>
            <w:bCs/>
            <w:sz w:val="28"/>
            <w:szCs w:val="28"/>
          </w:rPr>
          <w:t>разделом 5</w:t>
        </w:r>
      </w:hyperlink>
      <w:r w:rsidRPr="00260FA6">
        <w:rPr>
          <w:rFonts w:ascii="Times New Roman" w:eastAsiaTheme="minorHAnsi" w:hAnsi="Times New Roman"/>
          <w:bCs/>
          <w:sz w:val="28"/>
          <w:szCs w:val="28"/>
        </w:rPr>
        <w:t xml:space="preserve"> Правил.</w:t>
      </w:r>
    </w:p>
    <w:sectPr w:rsidR="00AA281B" w:rsidRPr="00260FA6" w:rsidSect="00614021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09"/>
    <w:rsid w:val="00260FA6"/>
    <w:rsid w:val="0044421B"/>
    <w:rsid w:val="00913D1B"/>
    <w:rsid w:val="00AA281B"/>
    <w:rsid w:val="00D14509"/>
    <w:rsid w:val="00D37CB0"/>
    <w:rsid w:val="00EB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09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5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45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09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5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45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82998&amp;dst=100636" TargetMode="External"/><Relationship Id="rId13" Type="http://schemas.openxmlformats.org/officeDocument/2006/relationships/hyperlink" Target="https://login.consultant.ru/link/?req=doc&amp;base=SPB&amp;n=282998&amp;dst=1006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82998&amp;dst=100449" TargetMode="External"/><Relationship Id="rId12" Type="http://schemas.openxmlformats.org/officeDocument/2006/relationships/hyperlink" Target="https://login.consultant.ru/link/?req=doc&amp;base=SPB&amp;n=294936&amp;dst=100083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062&amp;dst=101310" TargetMode="External"/><Relationship Id="rId11" Type="http://schemas.openxmlformats.org/officeDocument/2006/relationships/hyperlink" Target="https://login.consultant.ru/link/?req=doc&amp;base=SPB&amp;n=294936&amp;dst=100079" TargetMode="External"/><Relationship Id="rId5" Type="http://schemas.openxmlformats.org/officeDocument/2006/relationships/hyperlink" Target="https://login.consultant.ru/link/?req=doc&amp;base=LAW&amp;n=483062&amp;dst=101309" TargetMode="External"/><Relationship Id="rId15" Type="http://schemas.openxmlformats.org/officeDocument/2006/relationships/hyperlink" Target="https://login.consultant.ru/link/?req=doc&amp;base=SPB&amp;n=282998&amp;dst=100547" TargetMode="External"/><Relationship Id="rId10" Type="http://schemas.openxmlformats.org/officeDocument/2006/relationships/hyperlink" Target="https://login.consultant.ru/link/?req=doc&amp;base=SPB&amp;n=282998&amp;dst=1005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82998&amp;dst=100523" TargetMode="External"/><Relationship Id="rId14" Type="http://schemas.openxmlformats.org/officeDocument/2006/relationships/hyperlink" Target="https://login.consultant.ru/link/?req=doc&amp;base=SPB&amp;n=282998&amp;dst=1005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Бойцова</dc:creator>
  <cp:lastModifiedBy>Старостина Рузанна Левоновна</cp:lastModifiedBy>
  <cp:revision>6</cp:revision>
  <dcterms:created xsi:type="dcterms:W3CDTF">2021-07-26T08:11:00Z</dcterms:created>
  <dcterms:modified xsi:type="dcterms:W3CDTF">2024-08-26T12:20:00Z</dcterms:modified>
</cp:coreProperties>
</file>