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94" w:rsidRPr="00EC710D" w:rsidRDefault="00EC710D" w:rsidP="00EC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10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16A94" w:rsidRPr="00EC710D" w:rsidRDefault="00EC710D" w:rsidP="00EC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10D">
        <w:rPr>
          <w:rFonts w:ascii="Times New Roman" w:hAnsi="Times New Roman" w:cs="Times New Roman"/>
          <w:b/>
          <w:bCs/>
          <w:sz w:val="28"/>
          <w:szCs w:val="28"/>
        </w:rPr>
        <w:t>предоставления и распределения субсидии бюджетам муниципальных образований Ленинградской области из областного бюджета Ленинградской области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C710D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цели, условия и порядок предоставления и распределения субсидии бюджетам муниципальных образований Ленинградской области - городских и сельских поселений, городского округа, муниципального округа (далее - муниципальные образования) из областного бюджета Ленинградской области (далее - областной бюджет) в соответствии с областным </w:t>
      </w:r>
      <w:hyperlink r:id="rId6" w:history="1">
        <w:r w:rsidRPr="00EC71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от 16 февраля 2024 года </w:t>
      </w:r>
      <w:r w:rsidR="00EC710D">
        <w:rPr>
          <w:rFonts w:ascii="Times New Roman" w:hAnsi="Times New Roman" w:cs="Times New Roman"/>
          <w:sz w:val="28"/>
          <w:szCs w:val="28"/>
        </w:rPr>
        <w:t>№</w:t>
      </w:r>
      <w:r w:rsidRPr="00EC710D">
        <w:rPr>
          <w:rFonts w:ascii="Times New Roman" w:hAnsi="Times New Roman" w:cs="Times New Roman"/>
          <w:sz w:val="28"/>
          <w:szCs w:val="28"/>
        </w:rPr>
        <w:t xml:space="preserve"> 10-оз "О содействии участию населения в осуществлении местного самоуправления в Ленинградской области" (далее - субсидия).</w:t>
      </w:r>
      <w:proofErr w:type="gramEnd"/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1.2. Субсидия предоставляется в рамках комплекса процессных мероприятий "Содействие развитию участия населения в осуществлении местного самоуправления" государственной программы Ленинградской области "Устойчивое общественное развитие в Ленинградской области".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1.3. Предоставление субсидии осуществляется в соответствии со сводной бюджетной росписью областного бюджета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местному самоуправлению, межнациональным и межконфессиональным отношениям Ленинградской области (далее - комитет).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осуществлении органами местного самоуправления полномочий по решению вопросов местного значения, имеющих приоритетное значение для жителей муниципального образования или его части, посредством реализации инициативных проектов в рамках решения вопросов местного значения, предусмотренных </w:t>
      </w:r>
      <w:hyperlink r:id="rId7" w:history="1">
        <w:r w:rsidRPr="00EC710D">
          <w:rPr>
            <w:rFonts w:ascii="Times New Roman" w:hAnsi="Times New Roman" w:cs="Times New Roman"/>
            <w:sz w:val="28"/>
            <w:szCs w:val="28"/>
          </w:rPr>
          <w:t>статьями 14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EC710D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EC710D">
        <w:rPr>
          <w:rFonts w:ascii="Times New Roman" w:hAnsi="Times New Roman" w:cs="Times New Roman"/>
          <w:sz w:val="28"/>
          <w:szCs w:val="28"/>
        </w:rPr>
        <w:t>№</w:t>
      </w:r>
      <w:r w:rsidRPr="00EC710D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</w:t>
      </w:r>
      <w:proofErr w:type="gramEnd"/>
      <w:r w:rsidRPr="00EC710D">
        <w:rPr>
          <w:rFonts w:ascii="Times New Roman" w:hAnsi="Times New Roman" w:cs="Times New Roman"/>
          <w:sz w:val="28"/>
          <w:szCs w:val="28"/>
        </w:rPr>
        <w:t xml:space="preserve">" (далее - Федеральный закон от 6 октября 2003 года </w:t>
      </w:r>
      <w:r w:rsidR="00EC710D">
        <w:rPr>
          <w:rFonts w:ascii="Times New Roman" w:hAnsi="Times New Roman" w:cs="Times New Roman"/>
          <w:sz w:val="28"/>
          <w:szCs w:val="28"/>
        </w:rPr>
        <w:t>№</w:t>
      </w:r>
      <w:r w:rsidRPr="00EC710D">
        <w:rPr>
          <w:rFonts w:ascii="Times New Roman" w:hAnsi="Times New Roman" w:cs="Times New Roman"/>
          <w:sz w:val="28"/>
          <w:szCs w:val="28"/>
        </w:rPr>
        <w:t xml:space="preserve"> 131-ФЗ).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применяются в значениях, установленных действующим законодательством.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C710D">
        <w:rPr>
          <w:rFonts w:ascii="Times New Roman" w:hAnsi="Times New Roman" w:cs="Times New Roman"/>
          <w:bCs/>
          <w:sz w:val="28"/>
          <w:szCs w:val="28"/>
        </w:rPr>
        <w:t>2. Цели и условия предоставления субсидии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целях содействия участию населения в осуществлении местного самоуправления путем создания благоприятных условий и стимулов для деятельности по реализации инициативных проектов по вопросам местного значения старостами сельских населенных пунктов, общественными </w:t>
      </w:r>
      <w:r w:rsidRPr="00EC710D">
        <w:rPr>
          <w:rFonts w:ascii="Times New Roman" w:hAnsi="Times New Roman" w:cs="Times New Roman"/>
          <w:sz w:val="28"/>
          <w:szCs w:val="28"/>
        </w:rPr>
        <w:lastRenderedPageBreak/>
        <w:t>советами и органами территориального общественного самоуправления на территории Ленинградской области.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2.2. Результатом использования субсидии является количество реализованных инициативных проектов.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В соглашении о предоставлении субсидии, заключаемом между комитетом и администрацией муниципального образования (далее - соглашение), могут устанавливаться детализированные требования к достижению значений результатов использования субсидии.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субсидии определяются в соответствии с заявкой муниципального образования на предоставление субсидии и устанавливаются в соглашении.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2.3. Соглашение заключается в соответствии с </w:t>
      </w:r>
      <w:hyperlink r:id="rId9" w:history="1">
        <w:r w:rsidRPr="00EC710D">
          <w:rPr>
            <w:rFonts w:ascii="Times New Roman" w:hAnsi="Times New Roman" w:cs="Times New Roman"/>
            <w:sz w:val="28"/>
            <w:szCs w:val="28"/>
          </w:rPr>
          <w:t>пунктами 4.1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EC710D">
          <w:rPr>
            <w:rFonts w:ascii="Times New Roman" w:hAnsi="Times New Roman" w:cs="Times New Roman"/>
            <w:sz w:val="28"/>
            <w:szCs w:val="28"/>
          </w:rPr>
          <w:t>4.4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</w:t>
      </w:r>
      <w:r w:rsidR="00EC710D">
        <w:rPr>
          <w:rFonts w:ascii="Times New Roman" w:hAnsi="Times New Roman" w:cs="Times New Roman"/>
          <w:sz w:val="28"/>
          <w:szCs w:val="28"/>
        </w:rPr>
        <w:t>№</w:t>
      </w:r>
      <w:r w:rsidRPr="00EC710D">
        <w:rPr>
          <w:rFonts w:ascii="Times New Roman" w:hAnsi="Times New Roman" w:cs="Times New Roman"/>
          <w:sz w:val="28"/>
          <w:szCs w:val="28"/>
        </w:rPr>
        <w:t xml:space="preserve"> 257 (далее - Правила).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2.4. Условия предоставления субсидии устанавливаются в соответствии с </w:t>
      </w:r>
      <w:hyperlink r:id="rId11" w:history="1">
        <w:r w:rsidRPr="00EC710D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C710D">
        <w:rPr>
          <w:rFonts w:ascii="Times New Roman" w:hAnsi="Times New Roman" w:cs="Times New Roman"/>
          <w:bCs/>
          <w:sz w:val="28"/>
          <w:szCs w:val="28"/>
        </w:rPr>
        <w:t>3. Порядок проведения отбора муниципальных образований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710D">
        <w:rPr>
          <w:rFonts w:ascii="Times New Roman" w:hAnsi="Times New Roman" w:cs="Times New Roman"/>
          <w:bCs/>
          <w:sz w:val="28"/>
          <w:szCs w:val="28"/>
        </w:rPr>
        <w:t>для предоставления субсидии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3.1. Отбор муниципальных образований для предоставления субсидии на конкурсной основе проводится на основе оценки заявок, поданных муниципальными образованиями, на предоставление субсидии (далее - заявки). Форма заявки утверждается правовым актом комитета.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3.2. Прием заявок осуществляет комитет.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6"/>
      <w:bookmarkEnd w:id="0"/>
      <w:r w:rsidRPr="00EC710D">
        <w:rPr>
          <w:rFonts w:ascii="Times New Roman" w:hAnsi="Times New Roman" w:cs="Times New Roman"/>
          <w:sz w:val="28"/>
          <w:szCs w:val="28"/>
        </w:rPr>
        <w:t>3.3. Прием заявок начинается со дня, следующего за днем размещения на официальном сайте комитета в информационно-телекоммуникационной сети "Интернет" извещения о проведении отбора муниципальных образований для предоставления субсидии (далее - извещение, отбор). Срок приема заявок определяется правовым актом комитета и не может быть менее 30 календарных дней. Информация о сроке приема указывается в извещении.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EC710D">
        <w:rPr>
          <w:rFonts w:ascii="Times New Roman" w:hAnsi="Times New Roman" w:cs="Times New Roman"/>
          <w:sz w:val="28"/>
          <w:szCs w:val="28"/>
        </w:rPr>
        <w:t>3.4. К заявке прилагаются следующие документы: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утвержденная администрацией муниципального образования муниципальная программа (подпрограмма), предусматривающая реализацию инициативных проектов с указанием адреса (адресов) их реализации, либо гарантийное письмо муниципального образования о ее разработке и утверждении;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документы, подтверждающие вклад граждан, юридических лиц (индивидуальных предпринимателей) в реализацию инициативного проекта (проектов), - гарантийные письма о материально-техническом 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C710D">
        <w:rPr>
          <w:rFonts w:ascii="Times New Roman" w:hAnsi="Times New Roman" w:cs="Times New Roman"/>
          <w:sz w:val="28"/>
          <w:szCs w:val="28"/>
        </w:rPr>
        <w:t>или) финансовом участии граждан, юридических лиц (индивидуальных предпринимателей), сметы по трудовому участию граждан муниципального образования;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образования, устанавливающее порядок выдвижения, рассмотрения и реализации инициативных проектов, а также </w:t>
      </w:r>
      <w:r w:rsidRPr="00EC710D">
        <w:rPr>
          <w:rFonts w:ascii="Times New Roman" w:hAnsi="Times New Roman" w:cs="Times New Roman"/>
          <w:sz w:val="28"/>
          <w:szCs w:val="28"/>
        </w:rPr>
        <w:lastRenderedPageBreak/>
        <w:t>участия граждан и юридических лиц (индивидуальных предпринимателей) в их реализации;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правовой акт администрации муниципального образования, устанавливающий порядок включения инициативных проектов в муниципальную программу (подпрограмму).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3.4.1. В целях содействия участию населения в осуществлении местного самоуправления на территории муниципального образования, где в соответствии с </w:t>
      </w:r>
      <w:hyperlink r:id="rId12" w:history="1">
        <w:r w:rsidRPr="00EC710D">
          <w:rPr>
            <w:rFonts w:ascii="Times New Roman" w:hAnsi="Times New Roman" w:cs="Times New Roman"/>
            <w:sz w:val="28"/>
            <w:szCs w:val="28"/>
          </w:rPr>
          <w:t>частью 3 статьи 27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EC710D">
        <w:rPr>
          <w:rFonts w:ascii="Times New Roman" w:hAnsi="Times New Roman" w:cs="Times New Roman"/>
          <w:sz w:val="28"/>
          <w:szCs w:val="28"/>
        </w:rPr>
        <w:t>№</w:t>
      </w:r>
      <w:r w:rsidRPr="00EC710D">
        <w:rPr>
          <w:rFonts w:ascii="Times New Roman" w:hAnsi="Times New Roman" w:cs="Times New Roman"/>
          <w:sz w:val="28"/>
          <w:szCs w:val="28"/>
        </w:rPr>
        <w:t xml:space="preserve"> 131-ФЗ осуществляет свою деятельность территориальное общественное самоуправление, кроме документов, предусмотренных </w:t>
      </w:r>
      <w:hyperlink w:anchor="Par37" w:history="1">
        <w:r w:rsidRPr="00EC710D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настоящего Порядка, к заявке прилагаются следующие документы: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образования, определяющее порядок осуществления деятельности территориального общественного самоуправления на территории муниципального образования;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 об определении границ территории, на которой осуществляется территориальное общественное самоуправление;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 либо постановление администрации муниципального образования о регистрации устава территориального общественного самоуправления;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протоколы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(проектов) с указанием адреса (адресов) реализации;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фот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710D">
        <w:rPr>
          <w:rFonts w:ascii="Times New Roman" w:hAnsi="Times New Roman" w:cs="Times New Roman"/>
          <w:sz w:val="28"/>
          <w:szCs w:val="28"/>
        </w:rPr>
        <w:t xml:space="preserve"> и(или) 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проведения собраний (конференций) населенного пункта, на территории которого осуществляет свою деятельность территориальное общественное самоуправление, осуществленная с соблюдением положений </w:t>
      </w:r>
      <w:hyperlink r:id="rId13" w:history="1">
        <w:r w:rsidRPr="00EC710D">
          <w:rPr>
            <w:rFonts w:ascii="Times New Roman" w:hAnsi="Times New Roman" w:cs="Times New Roman"/>
            <w:sz w:val="28"/>
            <w:szCs w:val="28"/>
          </w:rPr>
          <w:t>статьи 152.1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3.4.2. В целях содействия участию населения в осуществлении местного самоуправления в сельских населенных пунктах, где назначен староста, кроме документов, предусмотренных </w:t>
      </w:r>
      <w:hyperlink w:anchor="Par37" w:history="1">
        <w:r w:rsidRPr="00EC710D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настоящего Порядка, к заявке дополнительно прилагаются следующие документы: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решение совета депутатов муниципального образования о назначении старосты сельского населенного пункта;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протоколы собраний (конференций) граждан сельского населенного пункта с участием старосты о выдвижении инициативного проекта (проектов) с указанием адреса (адресов) реализации;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lastRenderedPageBreak/>
        <w:t>протоколы собраний (конференций) граждан сельского населенного пункта с участием старосты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фот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710D">
        <w:rPr>
          <w:rFonts w:ascii="Times New Roman" w:hAnsi="Times New Roman" w:cs="Times New Roman"/>
          <w:sz w:val="28"/>
          <w:szCs w:val="28"/>
        </w:rPr>
        <w:t xml:space="preserve"> и(или) 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проведения собраний (конференций) граждан сельского населенного пункта с участием старосты, осуществленная с соблюдением положений </w:t>
      </w:r>
      <w:hyperlink r:id="rId14" w:history="1">
        <w:r w:rsidRPr="00EC710D">
          <w:rPr>
            <w:rFonts w:ascii="Times New Roman" w:hAnsi="Times New Roman" w:cs="Times New Roman"/>
            <w:sz w:val="28"/>
            <w:szCs w:val="28"/>
          </w:rPr>
          <w:t>статьи 152.1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3.4.3. В целях содействия участию населения в осуществлении местного самоуправления 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EC71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где избран общественный совет, кроме документов, предусмотренных </w:t>
      </w:r>
      <w:hyperlink w:anchor="Par37" w:history="1">
        <w:r w:rsidRPr="00EC710D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настоящего Порядка, к заявке дополнительно прилагаются следующие документы: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муниципальный правовой акт, устанавливающий часть территории муниципального образования, на которой действует общественный совет, а также направления деятельности общественных советов, их полномочия, срок полномочий, порядок взаимодействия с органами местного самоуправления муниципального образования;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решение собрания (конференции) граждан части территории муниципального образования об избрании общественного совета;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решение общественного совета об избрании председателя;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(проектов) с указанием адреса (адресов) реализации;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фот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710D">
        <w:rPr>
          <w:rFonts w:ascii="Times New Roman" w:hAnsi="Times New Roman" w:cs="Times New Roman"/>
          <w:sz w:val="28"/>
          <w:szCs w:val="28"/>
        </w:rPr>
        <w:t xml:space="preserve"> и(или) 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осуществленная с соблюдением положений </w:t>
      </w:r>
      <w:hyperlink r:id="rId15" w:history="1">
        <w:r w:rsidRPr="00EC710D">
          <w:rPr>
            <w:rFonts w:ascii="Times New Roman" w:hAnsi="Times New Roman" w:cs="Times New Roman"/>
            <w:sz w:val="28"/>
            <w:szCs w:val="28"/>
          </w:rPr>
          <w:t>статьи 152.1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2"/>
      <w:bookmarkEnd w:id="2"/>
      <w:r w:rsidRPr="00EC710D">
        <w:rPr>
          <w:rFonts w:ascii="Times New Roman" w:hAnsi="Times New Roman" w:cs="Times New Roman"/>
          <w:sz w:val="28"/>
          <w:szCs w:val="28"/>
        </w:rPr>
        <w:t xml:space="preserve">3.5. Инициативный проект должен содержать сведения, предусмотренные </w:t>
      </w:r>
      <w:hyperlink r:id="rId16" w:history="1">
        <w:r w:rsidRPr="00EC710D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EC710D">
          <w:rPr>
            <w:rFonts w:ascii="Times New Roman" w:hAnsi="Times New Roman" w:cs="Times New Roman"/>
            <w:sz w:val="28"/>
            <w:szCs w:val="28"/>
          </w:rPr>
          <w:t>8 части 3 статьи 26.1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EC710D">
        <w:rPr>
          <w:rFonts w:ascii="Times New Roman" w:hAnsi="Times New Roman" w:cs="Times New Roman"/>
          <w:sz w:val="28"/>
          <w:szCs w:val="28"/>
        </w:rPr>
        <w:t>№ </w:t>
      </w:r>
      <w:r w:rsidRPr="00EC710D">
        <w:rPr>
          <w:rFonts w:ascii="Times New Roman" w:hAnsi="Times New Roman" w:cs="Times New Roman"/>
          <w:sz w:val="28"/>
          <w:szCs w:val="28"/>
        </w:rPr>
        <w:t>131-ФЗ, а также указание на объем средств областного бюджета, необходимых для реализации инициативного проекта.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3"/>
      <w:bookmarkEnd w:id="3"/>
      <w:r w:rsidRPr="00EC710D">
        <w:rPr>
          <w:rFonts w:ascii="Times New Roman" w:hAnsi="Times New Roman" w:cs="Times New Roman"/>
          <w:sz w:val="28"/>
          <w:szCs w:val="28"/>
        </w:rPr>
        <w:t xml:space="preserve">3.6. Инициативный проект не может быть включен в заявку муниципального образования в случаях, предусмотренных </w:t>
      </w:r>
      <w:hyperlink r:id="rId18" w:history="1">
        <w:r w:rsidRPr="00EC710D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EC710D">
          <w:rPr>
            <w:rFonts w:ascii="Times New Roman" w:hAnsi="Times New Roman" w:cs="Times New Roman"/>
            <w:sz w:val="28"/>
            <w:szCs w:val="28"/>
          </w:rPr>
          <w:t>5 части 7 статьи 26.1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 w:rsidR="00EC710D">
        <w:rPr>
          <w:rFonts w:ascii="Times New Roman" w:hAnsi="Times New Roman" w:cs="Times New Roman"/>
          <w:sz w:val="28"/>
          <w:szCs w:val="28"/>
        </w:rPr>
        <w:t>№</w:t>
      </w:r>
      <w:r w:rsidRPr="00EC710D">
        <w:rPr>
          <w:rFonts w:ascii="Times New Roman" w:hAnsi="Times New Roman" w:cs="Times New Roman"/>
          <w:sz w:val="28"/>
          <w:szCs w:val="28"/>
        </w:rPr>
        <w:t xml:space="preserve"> 131-ФЗ, а также в случае отсутствия средств областного бюджета в объеме средств, необходимом для реализации инициативного проекта.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r w:rsidRPr="00EC710D">
        <w:rPr>
          <w:rFonts w:ascii="Times New Roman" w:hAnsi="Times New Roman" w:cs="Times New Roman"/>
          <w:sz w:val="28"/>
          <w:szCs w:val="28"/>
        </w:rPr>
        <w:lastRenderedPageBreak/>
        <w:t>3.7. Критериями, которым должны соответствовать муниципальные образования для допуска к оценке заявок, являются: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представление муниципальным образованием заявки в сроки, установленные в соответствии с </w:t>
      </w:r>
      <w:hyperlink w:anchor="Par36" w:history="1">
        <w:r w:rsidRPr="00EC710D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соответствие заявки требованиям, установленным </w:t>
      </w:r>
      <w:hyperlink w:anchor="Par37" w:history="1">
        <w:r w:rsidRPr="00EC710D">
          <w:rPr>
            <w:rFonts w:ascii="Times New Roman" w:hAnsi="Times New Roman" w:cs="Times New Roman"/>
            <w:sz w:val="28"/>
            <w:szCs w:val="28"/>
          </w:rPr>
          <w:t>пунктами 3.4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3" w:history="1">
        <w:r w:rsidRPr="00EC710D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7"/>
      <w:bookmarkEnd w:id="5"/>
      <w:r w:rsidRPr="00EC710D">
        <w:rPr>
          <w:rFonts w:ascii="Times New Roman" w:hAnsi="Times New Roman" w:cs="Times New Roman"/>
          <w:sz w:val="28"/>
          <w:szCs w:val="28"/>
        </w:rPr>
        <w:t>3.8. Критериями оценки заявок и показателями их значимости (весовые коэффициенты) в сводной оценке заявки муниципального образования являются: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наличие инициативного проекта (инициативных проектов) в заявке, соответствующих требованиям, установленным </w:t>
      </w:r>
      <w:hyperlink w:anchor="Par62" w:history="1">
        <w:r w:rsidRPr="00EC710D">
          <w:rPr>
            <w:rFonts w:ascii="Times New Roman" w:hAnsi="Times New Roman" w:cs="Times New Roman"/>
            <w:sz w:val="28"/>
            <w:szCs w:val="28"/>
          </w:rPr>
          <w:t>пунктами 3.5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3" w:history="1">
        <w:r w:rsidRPr="00EC710D">
          <w:rPr>
            <w:rFonts w:ascii="Times New Roman" w:hAnsi="Times New Roman" w:cs="Times New Roman"/>
            <w:sz w:val="28"/>
            <w:szCs w:val="28"/>
          </w:rPr>
          <w:t>3.6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настоящего Порядка, - 0,3;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реализация инициативного проекта (инициативных проектов) в течение одного финансового года - 0,3;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привлечение для обеспечения реализации инициативного проекта (инициативных проектов) финансового, 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C710D">
        <w:rPr>
          <w:rFonts w:ascii="Times New Roman" w:hAnsi="Times New Roman" w:cs="Times New Roman"/>
          <w:sz w:val="28"/>
          <w:szCs w:val="28"/>
        </w:rPr>
        <w:t>или) трудового, и(или) материально-технического участия граждан муниципального образования - 0,4.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3.9. Рассмотрение заявок на соответствие критериям, установленным </w:t>
      </w:r>
      <w:hyperlink w:anchor="Par64" w:history="1">
        <w:r w:rsidRPr="00EC710D">
          <w:rPr>
            <w:rFonts w:ascii="Times New Roman" w:hAnsi="Times New Roman" w:cs="Times New Roman"/>
            <w:sz w:val="28"/>
            <w:szCs w:val="28"/>
          </w:rPr>
          <w:t>пунктом 3.7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комитетом на этапе приема заявок.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3.10. Отбор заявок осуществляется комиссией по отбору муниципальных образований для предоставления субсидии (далее - комиссия) на основании оценки заявок по балльной системе в течение 25 рабочих дней 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EC710D">
        <w:rPr>
          <w:rFonts w:ascii="Times New Roman" w:hAnsi="Times New Roman" w:cs="Times New Roman"/>
          <w:sz w:val="28"/>
          <w:szCs w:val="28"/>
        </w:rPr>
        <w:t xml:space="preserve"> приема заявок. Персональный состав и положение о комиссии утверждается правовым актом комитета.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Оценка заявок осуществляется в соответствии с критериями оценки заявок, предусмотренными </w:t>
      </w:r>
      <w:hyperlink w:anchor="Par67" w:history="1">
        <w:r w:rsidRPr="00EC710D">
          <w:rPr>
            <w:rFonts w:ascii="Times New Roman" w:hAnsi="Times New Roman" w:cs="Times New Roman"/>
            <w:sz w:val="28"/>
            <w:szCs w:val="28"/>
          </w:rPr>
          <w:t>пунктом 3.8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По каждому из критериев в случае соответствия присваивается 5 баллов, в случае несоответствия - 0 баллов.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Сводная оценка заявки рассчитывается по формуле: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6B0BE051" wp14:editId="41A96E59">
            <wp:extent cx="1653540" cy="6019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где: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C71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C710D">
        <w:rPr>
          <w:rFonts w:ascii="Times New Roman" w:hAnsi="Times New Roman" w:cs="Times New Roman"/>
          <w:sz w:val="28"/>
          <w:szCs w:val="28"/>
        </w:rPr>
        <w:t>gi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- количество баллов по i-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критерию, предусмотренному </w:t>
      </w:r>
      <w:hyperlink w:anchor="Par67" w:history="1">
        <w:r w:rsidRPr="00EC710D">
          <w:rPr>
            <w:rFonts w:ascii="Times New Roman" w:hAnsi="Times New Roman" w:cs="Times New Roman"/>
            <w:sz w:val="28"/>
            <w:szCs w:val="28"/>
          </w:rPr>
          <w:t>пунктом 3.8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10D">
        <w:rPr>
          <w:rFonts w:ascii="Times New Roman" w:hAnsi="Times New Roman" w:cs="Times New Roman"/>
          <w:sz w:val="28"/>
          <w:szCs w:val="28"/>
        </w:rPr>
        <w:t>Rgi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- весовой коэффициент i-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критерия, предусмотренного </w:t>
      </w:r>
      <w:hyperlink w:anchor="Par67" w:history="1">
        <w:r w:rsidRPr="00EC710D">
          <w:rPr>
            <w:rFonts w:ascii="Times New Roman" w:hAnsi="Times New Roman" w:cs="Times New Roman"/>
            <w:sz w:val="28"/>
            <w:szCs w:val="28"/>
          </w:rPr>
          <w:t>пунктом 3.8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настоящего Порядка, в сводной оценке заявки муниципального образования.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Победителями отбора признаются муниципальные образования, сводные оценки заявок которых набрали максимальное количество баллов (5 баллов).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3.11. На основании результатов отбора комиссия формирует и утверждает список муниципальных образований для предоставления субсидии с указанием перечня инициативных проектов по каждому муниципальному образованию, источников и объемов финансирования (далее - список).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3.12. Протокол заседания комиссии с утвержденным списком в течение пяти рабочих дней со дня окончания отбора направляется в комитет. Комитет в течение </w:t>
      </w:r>
      <w:r w:rsidRPr="00EC710D">
        <w:rPr>
          <w:rFonts w:ascii="Times New Roman" w:hAnsi="Times New Roman" w:cs="Times New Roman"/>
          <w:sz w:val="28"/>
          <w:szCs w:val="28"/>
        </w:rPr>
        <w:lastRenderedPageBreak/>
        <w:t>пяти рабочих дней со дня поступления протокола утверждает список правовым актом комитета.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C710D">
        <w:rPr>
          <w:rFonts w:ascii="Times New Roman" w:hAnsi="Times New Roman" w:cs="Times New Roman"/>
          <w:bCs/>
          <w:sz w:val="28"/>
          <w:szCs w:val="28"/>
        </w:rPr>
        <w:t>4. Методика распределения субсидии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4.1. Распределение субсидии между муниципальными образованиями осуществляется исходя из заявок муниципальных образований.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4.2. Субсидия распределяется между муниципальными образованиями, прошедшими отбор, по формуле: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71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>g</w:t>
      </w:r>
      <w:proofErr w:type="spellEnd"/>
      <w:proofErr w:type="gramEnd"/>
      <w:r w:rsidRPr="00EC710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ЗСg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УСg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>,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где: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1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>g</w:t>
      </w:r>
      <w:proofErr w:type="spellEnd"/>
      <w:proofErr w:type="gramEnd"/>
      <w:r w:rsidRPr="00EC710D">
        <w:rPr>
          <w:rFonts w:ascii="Times New Roman" w:hAnsi="Times New Roman" w:cs="Times New Roman"/>
          <w:sz w:val="28"/>
          <w:szCs w:val="28"/>
        </w:rPr>
        <w:t xml:space="preserve"> - объем субсидии, предоставленный бюджету g-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10D">
        <w:rPr>
          <w:rFonts w:ascii="Times New Roman" w:hAnsi="Times New Roman" w:cs="Times New Roman"/>
          <w:sz w:val="28"/>
          <w:szCs w:val="28"/>
        </w:rPr>
        <w:t>ЗС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>g</w:t>
      </w:r>
      <w:proofErr w:type="spellEnd"/>
      <w:proofErr w:type="gramEnd"/>
      <w:r w:rsidRPr="00EC710D">
        <w:rPr>
          <w:rFonts w:ascii="Times New Roman" w:hAnsi="Times New Roman" w:cs="Times New Roman"/>
          <w:sz w:val="28"/>
          <w:szCs w:val="28"/>
        </w:rPr>
        <w:t xml:space="preserve"> - плановый общий объем расходов на исполнение 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обязательств в соответствии с заявкой g-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отобранного для предоставления субсидии (общая сметная стоимость проектов), за минусом объема финансового участия граждан, юридических лиц (индивидуальных предпринимателей) (в виде безвозмездных поступлений, в том числе добровольных пожертвований) в бюджет g-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710D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>g</w:t>
      </w:r>
      <w:proofErr w:type="spellEnd"/>
      <w:proofErr w:type="gramEnd"/>
      <w:r w:rsidRPr="00EC710D">
        <w:rPr>
          <w:rFonts w:ascii="Times New Roman" w:hAnsi="Times New Roman" w:cs="Times New Roman"/>
          <w:sz w:val="28"/>
          <w:szCs w:val="28"/>
        </w:rPr>
        <w:t xml:space="preserve"> - предельный уровень 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для g-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4.3. Распределение субсидии между муниципальными образованиями утверждается областным законом об областном бюджете Ленинградской области на очередной финансовый год и на плановый период в соответствии с </w:t>
      </w:r>
      <w:hyperlink r:id="rId21" w:history="1">
        <w:r w:rsidRPr="00EC710D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4.4. Распределение субсидии утверждается в пределах бюджетных ассигнований, предусмотренных в установленном порядке комитету на очередной финансовый год и на плановый период.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4.5. Допускается утверждение не распределенного между муниципальными образованиями объема субсидии в размере не более пяти процентов общего объема соответствующей субсидии, утвержденного на первый год планового периода, и не более 10 процентов общего объема соответствующей субсидии, утвержденного на второй год планового периода.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Утверждение не распределенного между муниципальными образованиями объема субсидии на очередной финансовый год не допускается.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10D">
        <w:rPr>
          <w:rFonts w:ascii="Times New Roman" w:hAnsi="Times New Roman" w:cs="Times New Roman"/>
          <w:sz w:val="28"/>
          <w:szCs w:val="28"/>
        </w:rPr>
        <w:t>При возникновении не распределенного между муниципальными образованиями объема субсидии, превышающего предельные значения, установленные настоящим пунктом, общий объем субсидии подлежит сокращению на объем соответствующего превышения в рамках внесения очередных изменений в областной закон об областном бюджете Ленинградской области на текущий финансовый год и на плановый период.</w:t>
      </w:r>
      <w:proofErr w:type="gramEnd"/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4.6. Основаниями для внесения изменений в утвержденное распределение субсидий являются: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5"/>
      <w:bookmarkEnd w:id="6"/>
      <w:r w:rsidRPr="00EC710D">
        <w:rPr>
          <w:rFonts w:ascii="Times New Roman" w:hAnsi="Times New Roman" w:cs="Times New Roman"/>
          <w:sz w:val="28"/>
          <w:szCs w:val="28"/>
        </w:rPr>
        <w:lastRenderedPageBreak/>
        <w:t xml:space="preserve">а) уточнение планового объема расходов на исполнение 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обязательств по итогам заключения муниципальных контрактов (договоров) на поставку товаров, выполнение работ, оказание услуг;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6"/>
      <w:bookmarkEnd w:id="7"/>
      <w:r w:rsidRPr="00EC710D">
        <w:rPr>
          <w:rFonts w:ascii="Times New Roman" w:hAnsi="Times New Roman" w:cs="Times New Roman"/>
          <w:sz w:val="28"/>
          <w:szCs w:val="28"/>
        </w:rPr>
        <w:t>б) увеличение общего объема бюджетных ассигнований областного бюджета, предусмотренного для предоставления субсидии.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4.7. В случаях, указанных в </w:t>
      </w:r>
      <w:hyperlink w:anchor="Par105" w:history="1">
        <w:r w:rsidRPr="00EC710D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6" w:history="1">
        <w:r w:rsidRPr="00EC710D">
          <w:rPr>
            <w:rFonts w:ascii="Times New Roman" w:hAnsi="Times New Roman" w:cs="Times New Roman"/>
            <w:sz w:val="28"/>
            <w:szCs w:val="28"/>
          </w:rPr>
          <w:t>"б" пункта 4.6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30 календарных дней после утверждения изменений в распределение субсидии в рамках внесения очередных изменений в областной закон об областном бюджете Ленинградской области на текущий финансовый год и на плановый период заключаются соглашения (дополнительные соглашения).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4.8. В случае наличия у муниципального образования экономии средств субсидии и местного бюджета по результатам проведения конкурсных процедур средства субсидии предоставляются муниципальному образованию при наличии подтвержденной потребности в рамках инициативных проектов, предусмотренных соглашением, посредством заключения дополнительного соглашения по изменению детализированных требований к достижению значений результатов использования субсидии 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C710D">
        <w:rPr>
          <w:rFonts w:ascii="Times New Roman" w:hAnsi="Times New Roman" w:cs="Times New Roman"/>
          <w:sz w:val="28"/>
          <w:szCs w:val="28"/>
        </w:rPr>
        <w:t xml:space="preserve">или) по включению дополнительных мероприятий в рамках инициативных проектов после завершения конкурсных процедур, при условии соблюдения установленного соглашением уровня 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>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C710D">
        <w:rPr>
          <w:rFonts w:ascii="Times New Roman" w:hAnsi="Times New Roman" w:cs="Times New Roman"/>
          <w:bCs/>
          <w:sz w:val="28"/>
          <w:szCs w:val="28"/>
        </w:rPr>
        <w:t>5. Порядок предоставления и перечисления субсидии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5.1.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>Перечень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включает платежные поручения, счета, счета-фактуры, акты приемки выполненных работ, справки о стоимости выполненных работ и затрат, товарные накладные, муниципальные контракты, договоры, фотографии до и после выполнения работ, документы, подтверждающие вклад граждан, юридических лиц (индивидуальных предпринимателей), и иные документы, подтверждающие расходы.</w:t>
      </w:r>
      <w:proofErr w:type="gramEnd"/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в комитет документов и целевое использование субсидии несет администрация муниципального образования в соответствии с заключенным соглашением, федеральным законодательством и областным законодательством.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5.3. При перечислении субсидии 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>исходя из потребности в оплате денежных обязательств по расходам муниципального образования, источником финансового обеспечения которых является</w:t>
      </w:r>
      <w:proofErr w:type="gramEnd"/>
      <w:r w:rsidRPr="00EC710D">
        <w:rPr>
          <w:rFonts w:ascii="Times New Roman" w:hAnsi="Times New Roman" w:cs="Times New Roman"/>
          <w:sz w:val="28"/>
          <w:szCs w:val="28"/>
        </w:rPr>
        <w:t xml:space="preserve"> субсидия, муниципальное образование посредством использования информационной системы "Управление бюджетным процессом Ленинградской области" представляет в комитет платежный документ с одновременным представлением документов, подтверждающих потребность в осуществлении расходов.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седьмого рабочего дня </w:t>
      </w:r>
      <w:proofErr w:type="gramStart"/>
      <w:r w:rsidRPr="00EC710D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EC710D">
        <w:rPr>
          <w:rFonts w:ascii="Times New Roman" w:hAnsi="Times New Roman" w:cs="Times New Roman"/>
          <w:sz w:val="28"/>
          <w:szCs w:val="28"/>
        </w:rPr>
        <w:t xml:space="preserve"> оформленного надлежащим образом платежного документа.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5.4. Субсидия, не использованная в текущем финансовом году, подлежит возврату в областной бюджет в порядке и в сроки, установленные правовым актом Комитета финансов Ленинградской области.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5.5. Принятие решения о подтверждении потребности в текущем году в остатках субсидии, предоставленной в отчетном году, допускается однократно в течение срока действия соглашения.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5.6.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субсидии, соблюдения установленного уровня 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в соответствии с соглашениями) осуществляется комитетом в соответствии с бюджетным законодательством Российской Федерации.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1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710D">
        <w:rPr>
          <w:rFonts w:ascii="Times New Roman" w:hAnsi="Times New Roman" w:cs="Times New Roman"/>
          <w:sz w:val="28"/>
          <w:szCs w:val="28"/>
        </w:rPr>
        <w:t xml:space="preserve">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>5.7. Средства субсидии, использованные муниципальным образованием не по целевому назначению, подлежат возврату в областной бюджет.</w:t>
      </w:r>
    </w:p>
    <w:p w:rsidR="00E16A94" w:rsidRPr="00EC710D" w:rsidRDefault="00E16A94" w:rsidP="00EC71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10D">
        <w:rPr>
          <w:rFonts w:ascii="Times New Roman" w:hAnsi="Times New Roman" w:cs="Times New Roman"/>
          <w:sz w:val="28"/>
          <w:szCs w:val="28"/>
        </w:rPr>
        <w:t xml:space="preserve">5.8. В случае </w:t>
      </w:r>
      <w:proofErr w:type="spellStart"/>
      <w:r w:rsidRPr="00EC710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EC710D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значений результатов использования субсидии к муниципальному образованию применяются меры ответственности, предусмотренные </w:t>
      </w:r>
      <w:hyperlink r:id="rId22" w:history="1">
        <w:r w:rsidRPr="00EC710D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EC710D">
        <w:rPr>
          <w:rFonts w:ascii="Times New Roman" w:hAnsi="Times New Roman" w:cs="Times New Roman"/>
          <w:sz w:val="28"/>
          <w:szCs w:val="28"/>
        </w:rPr>
        <w:t xml:space="preserve"> Правил.</w:t>
      </w:r>
      <w:bookmarkStart w:id="8" w:name="_GoBack"/>
      <w:bookmarkEnd w:id="8"/>
    </w:p>
    <w:sectPr w:rsidR="00E16A94" w:rsidRPr="00EC710D" w:rsidSect="00EC710D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8F"/>
    <w:rsid w:val="002E5761"/>
    <w:rsid w:val="007067AF"/>
    <w:rsid w:val="00796DF9"/>
    <w:rsid w:val="008572BF"/>
    <w:rsid w:val="0089114D"/>
    <w:rsid w:val="00AA6F13"/>
    <w:rsid w:val="00E16A94"/>
    <w:rsid w:val="00E96932"/>
    <w:rsid w:val="00EC710D"/>
    <w:rsid w:val="00F7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809&amp;dst=101356" TargetMode="External"/><Relationship Id="rId13" Type="http://schemas.openxmlformats.org/officeDocument/2006/relationships/hyperlink" Target="https://login.consultant.ru/link/?req=doc&amp;base=LAW&amp;n=471848&amp;dst=49" TargetMode="External"/><Relationship Id="rId18" Type="http://schemas.openxmlformats.org/officeDocument/2006/relationships/hyperlink" Target="https://login.consultant.ru/link/?req=doc&amp;base=LAW&amp;n=480809&amp;dst=93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SPB&amp;n=282998&amp;dst=100634" TargetMode="External"/><Relationship Id="rId7" Type="http://schemas.openxmlformats.org/officeDocument/2006/relationships/hyperlink" Target="https://login.consultant.ru/link/?req=doc&amp;base=LAW&amp;n=480809&amp;dst=425" TargetMode="External"/><Relationship Id="rId12" Type="http://schemas.openxmlformats.org/officeDocument/2006/relationships/hyperlink" Target="https://login.consultant.ru/link/?req=doc&amp;base=LAW&amp;n=480809&amp;dst=100298" TargetMode="External"/><Relationship Id="rId17" Type="http://schemas.openxmlformats.org/officeDocument/2006/relationships/hyperlink" Target="https://login.consultant.ru/link/?req=doc&amp;base=LAW&amp;n=480809&amp;dst=9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0809&amp;dst=921" TargetMode="External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SPB&amp;n=287671" TargetMode="External"/><Relationship Id="rId11" Type="http://schemas.openxmlformats.org/officeDocument/2006/relationships/hyperlink" Target="https://login.consultant.ru/link/?req=doc&amp;base=SPB&amp;n=282998&amp;dst=10044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1848&amp;dst=4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SPB&amp;n=282998&amp;dst=100538" TargetMode="External"/><Relationship Id="rId19" Type="http://schemas.openxmlformats.org/officeDocument/2006/relationships/hyperlink" Target="https://login.consultant.ru/link/?req=doc&amp;base=LAW&amp;n=480809&amp;dst=9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82998&amp;dst=100636" TargetMode="External"/><Relationship Id="rId14" Type="http://schemas.openxmlformats.org/officeDocument/2006/relationships/hyperlink" Target="https://login.consultant.ru/link/?req=doc&amp;base=LAW&amp;n=471848&amp;dst=49" TargetMode="External"/><Relationship Id="rId22" Type="http://schemas.openxmlformats.org/officeDocument/2006/relationships/hyperlink" Target="https://login.consultant.ru/link/?req=doc&amp;base=SPB&amp;n=282998&amp;dst=100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B4D04-7D70-4CC1-9B33-6953EB868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3242</Words>
  <Characters>18481</Characters>
  <Application>Microsoft Office Word</Application>
  <DocSecurity>0</DocSecurity>
  <Lines>154</Lines>
  <Paragraphs>43</Paragraphs>
  <ScaleCrop>false</ScaleCrop>
  <Company/>
  <LinksUpToDate>false</LinksUpToDate>
  <CharactersWithSpaces>21680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Илона Викторовна</dc:creator>
  <cp:keywords/>
  <dc:description/>
  <cp:lastModifiedBy>Старостина Рузанна Левоновна</cp:lastModifiedBy>
  <cp:revision>3</cp:revision>
  <dcterms:created xsi:type="dcterms:W3CDTF">2024-07-25T14:08:00Z</dcterms:created>
  <dcterms:modified xsi:type="dcterms:W3CDTF">2024-08-26T12:10:00Z</dcterms:modified>
</cp:coreProperties>
</file>