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0" w:rsidRDefault="00BA6720" w:rsidP="00BA6720">
      <w:pPr>
        <w:pStyle w:val="ConsPlusTitl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BA6720" w:rsidRDefault="00BA6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0444" w:rsidRPr="009B0444" w:rsidRDefault="009B04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ПАСПОРТ</w:t>
      </w:r>
    </w:p>
    <w:p w:rsidR="009B0444" w:rsidRPr="009B0444" w:rsidRDefault="009B0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</w:t>
      </w:r>
    </w:p>
    <w:p w:rsidR="009B0444" w:rsidRPr="009B0444" w:rsidRDefault="009B0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"Управление государственными финансами и </w:t>
      </w:r>
      <w:proofErr w:type="gramStart"/>
      <w:r w:rsidRPr="009B0444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9B0444" w:rsidRPr="009B0444" w:rsidRDefault="009B0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долгом Ленинградской области"</w:t>
      </w:r>
    </w:p>
    <w:p w:rsidR="009B0444" w:rsidRPr="009B0444" w:rsidRDefault="009B044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Срок реализации государственной программы Ленинградской области "Управление государственными финансами и государственным долгом Ленинградской области" (далее - государственная программа)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2022-2030 годы &lt;*&gt;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долгосрочной сбалансированности областного бюджета Ленинградской области и высокого уровня долговой устойчивости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1. Обеспечение устойчивого исполнения бюджетов муниципальных образований Ленинградской области.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2. Эффективное управление государственным долгом и государственными финансовыми активами Ленинградской области.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управления государственными финансами, повышение открытости и прозрачности представления информации о бюджетном процессе в Ленинградской области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1. Отсутствует просроченная кредиторская задолженность консолидированных бюджетов муниципальных образований Ленинградской области.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2. Сохраняется достигнутая высокая степень долговой устойчивости.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3. Ленинградская область относится к группе субъектов Российской Федерации с очень высоким уровнем открытости бюджетных данных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B0444" w:rsidRPr="009B0444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государственной программы с учетом расчетных объемов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лиц, составляет </w:t>
            </w:r>
            <w:r w:rsidR="00CE11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1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B0444" w:rsidRPr="00E92346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3C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E92346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 798 142,7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E92346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BC" w:rsidRPr="00E23C80">
              <w:rPr>
                <w:rFonts w:ascii="Times New Roman" w:hAnsi="Times New Roman" w:cs="Times New Roman"/>
                <w:sz w:val="24"/>
                <w:szCs w:val="24"/>
              </w:rPr>
              <w:t xml:space="preserve">14 886 252,7 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0444" w:rsidRPr="00E92346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BC" w:rsidRPr="00E23C80">
              <w:rPr>
                <w:rFonts w:ascii="Times New Roman" w:hAnsi="Times New Roman" w:cs="Times New Roman"/>
                <w:sz w:val="24"/>
                <w:szCs w:val="24"/>
              </w:rPr>
              <w:t>15 431 194,7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E92346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6 088</w:t>
            </w:r>
            <w:r w:rsidR="00E23C80">
              <w:rPr>
                <w:rFonts w:ascii="Times New Roman" w:hAnsi="Times New Roman" w:cs="Times New Roman"/>
                <w:sz w:val="24"/>
                <w:szCs w:val="24"/>
              </w:rPr>
              <w:t> 617,4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E92346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17 125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9D0FF7" w:rsidRPr="00E923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23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0087" w:rsidRPr="00E92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9F0087"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– 18 584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19 399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F0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без учета расчетных объемов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лиц, составляет </w:t>
            </w:r>
            <w:r w:rsidR="00CE1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1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E92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="00E92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346">
              <w:rPr>
                <w:rFonts w:ascii="Times New Roman" w:hAnsi="Times New Roman" w:cs="Times New Roman"/>
                <w:sz w:val="24"/>
                <w:szCs w:val="24"/>
              </w:rPr>
              <w:t>6 179 654,0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 xml:space="preserve"> 7 375 762,2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BC" w:rsidRPr="00CE11BC">
              <w:rPr>
                <w:rFonts w:ascii="Times New Roman" w:hAnsi="Times New Roman" w:cs="Times New Roman"/>
                <w:sz w:val="24"/>
                <w:szCs w:val="24"/>
              </w:rPr>
              <w:t xml:space="preserve">9 080 066,9 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BC" w:rsidRPr="00CE11BC">
              <w:rPr>
                <w:rFonts w:ascii="Times New Roman" w:hAnsi="Times New Roman" w:cs="Times New Roman"/>
                <w:sz w:val="24"/>
                <w:szCs w:val="24"/>
              </w:rPr>
              <w:t>8 407 929,9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1BC" w:rsidRPr="00CE11BC">
              <w:rPr>
                <w:rFonts w:ascii="Times New Roman" w:hAnsi="Times New Roman" w:cs="Times New Roman"/>
                <w:sz w:val="24"/>
                <w:szCs w:val="24"/>
              </w:rPr>
              <w:t xml:space="preserve">8 564 </w:t>
            </w:r>
            <w:r w:rsidR="00E23C8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CE11BC" w:rsidRPr="00CE1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8 316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576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B0444" w:rsidRPr="001930D8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объемы дотаций на выравнивание бюджетной обеспеченности муниципальных районов (городских округов), замененные дополнительными нормативами отчислений от налога на доходы физических лиц, составляют 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70 596 102,2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444" w:rsidRPr="001930D8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>798,7 тыс. рублей;</w:t>
            </w:r>
          </w:p>
          <w:p w:rsidR="009B0444" w:rsidRPr="001930D8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>380,5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D0FF7" w:rsidRPr="001930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8" w:rsidRPr="001930D8">
              <w:rPr>
                <w:rFonts w:ascii="Times New Roman" w:hAnsi="Times New Roman" w:cs="Times New Roman"/>
                <w:sz w:val="24"/>
                <w:szCs w:val="24"/>
              </w:rPr>
              <w:t>5 806 185,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7 023 264,8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 xml:space="preserve"> 7 524 254,4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8 918 277,5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9 560 393,5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10 267 862,6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B0444" w:rsidRPr="009B0444" w:rsidRDefault="009B0444" w:rsidP="001930D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 w:rsidR="009D0F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30D8">
              <w:rPr>
                <w:rFonts w:ascii="Times New Roman" w:hAnsi="Times New Roman" w:cs="Times New Roman"/>
                <w:sz w:val="24"/>
                <w:szCs w:val="24"/>
              </w:rPr>
              <w:t>11 027 684,4</w:t>
            </w: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B0444" w:rsidRPr="009B044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B0444" w:rsidRPr="009B0444" w:rsidRDefault="009B04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>
              <w:r w:rsidRPr="009B04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9B04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27.12.2022 N 982)</w:t>
            </w:r>
          </w:p>
        </w:tc>
      </w:tr>
      <w:tr w:rsidR="009B0444" w:rsidRPr="009B0444">
        <w:tc>
          <w:tcPr>
            <w:tcW w:w="2041" w:type="dxa"/>
          </w:tcPr>
          <w:p w:rsidR="009B0444" w:rsidRPr="009B0444" w:rsidRDefault="009B0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30" w:type="dxa"/>
          </w:tcPr>
          <w:p w:rsidR="009B0444" w:rsidRPr="009B0444" w:rsidRDefault="009B04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44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B0444" w:rsidRPr="009B0444" w:rsidRDefault="009B0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444" w:rsidRPr="009B0444" w:rsidRDefault="009B0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0444" w:rsidRPr="009B0444" w:rsidRDefault="009B0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&lt;*&gt; Срок начала реализации государственной программы - 1 января 2014 года (см. постановление Правительства Ленинградской области от 14 ноября 2013 года N 402).</w:t>
      </w:r>
    </w:p>
    <w:p w:rsidR="009B0444" w:rsidRPr="009B0444" w:rsidRDefault="009B0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67A" w:rsidRPr="009B0444" w:rsidRDefault="005C467A">
      <w:pPr>
        <w:rPr>
          <w:rFonts w:ascii="Times New Roman" w:hAnsi="Times New Roman" w:cs="Times New Roman"/>
          <w:sz w:val="28"/>
          <w:szCs w:val="28"/>
        </w:rPr>
      </w:pPr>
    </w:p>
    <w:sectPr w:rsidR="005C467A" w:rsidRPr="009B0444" w:rsidSect="009B0444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1930D8"/>
    <w:rsid w:val="001C165A"/>
    <w:rsid w:val="00240AE0"/>
    <w:rsid w:val="00316F73"/>
    <w:rsid w:val="00322886"/>
    <w:rsid w:val="003F65EF"/>
    <w:rsid w:val="00576B18"/>
    <w:rsid w:val="005C467A"/>
    <w:rsid w:val="009B0444"/>
    <w:rsid w:val="009D0FF7"/>
    <w:rsid w:val="009F0087"/>
    <w:rsid w:val="00BA6720"/>
    <w:rsid w:val="00C370C1"/>
    <w:rsid w:val="00CE11BC"/>
    <w:rsid w:val="00E23C80"/>
    <w:rsid w:val="00E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04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0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04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0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0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0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04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04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0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04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0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0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0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04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78EC4B555C7189B20E78DF34F0BE7CF8ADD29CA7905B25B4340FF9519CFCC456B868E3DFC0B6FE9C17CCDF2897EE89B482C89A8CA7AF37K5j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FF0B-DD1D-4FC9-9F34-D7E215E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Александр Владимирович</dc:creator>
  <cp:lastModifiedBy>Рыженкова Елена Николаевна</cp:lastModifiedBy>
  <cp:revision>2</cp:revision>
  <dcterms:created xsi:type="dcterms:W3CDTF">2023-10-12T10:34:00Z</dcterms:created>
  <dcterms:modified xsi:type="dcterms:W3CDTF">2023-10-12T10:34:00Z</dcterms:modified>
</cp:coreProperties>
</file>