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B0" w:rsidRDefault="00843AB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3AB0" w:rsidRDefault="00843AB0">
      <w:pPr>
        <w:pStyle w:val="ConsPlusNormal"/>
        <w:jc w:val="both"/>
        <w:outlineLvl w:val="0"/>
      </w:pPr>
    </w:p>
    <w:p w:rsidR="00843AB0" w:rsidRDefault="00843AB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43AB0" w:rsidRDefault="00843AB0">
      <w:pPr>
        <w:pStyle w:val="ConsPlusTitle"/>
        <w:jc w:val="center"/>
      </w:pPr>
    </w:p>
    <w:p w:rsidR="00843AB0" w:rsidRDefault="00843AB0">
      <w:pPr>
        <w:pStyle w:val="ConsPlusTitle"/>
        <w:jc w:val="center"/>
      </w:pPr>
      <w:r>
        <w:t>ПОСТАНОВЛЕНИЕ</w:t>
      </w:r>
    </w:p>
    <w:p w:rsidR="00843AB0" w:rsidRDefault="00843AB0">
      <w:pPr>
        <w:pStyle w:val="ConsPlusTitle"/>
        <w:jc w:val="center"/>
      </w:pPr>
      <w:r>
        <w:t>от 23 июля 2013 г. N 219</w:t>
      </w:r>
    </w:p>
    <w:p w:rsidR="00843AB0" w:rsidRDefault="00843AB0">
      <w:pPr>
        <w:pStyle w:val="ConsPlusTitle"/>
        <w:jc w:val="center"/>
      </w:pPr>
    </w:p>
    <w:p w:rsidR="00843AB0" w:rsidRDefault="006855E8">
      <w:pPr>
        <w:pStyle w:val="ConsPlusTitle"/>
        <w:jc w:val="center"/>
      </w:pPr>
      <w:r>
        <w:t>Об утверждении методики распределения иных дотаций</w:t>
      </w:r>
    </w:p>
    <w:p w:rsidR="00843AB0" w:rsidRDefault="006855E8">
      <w:pPr>
        <w:pStyle w:val="ConsPlusTitle"/>
        <w:jc w:val="center"/>
      </w:pPr>
      <w:r>
        <w:t>бюджетам муниципальных образований Ленинградской области,</w:t>
      </w:r>
    </w:p>
    <w:p w:rsidR="00843AB0" w:rsidRDefault="006855E8">
      <w:pPr>
        <w:pStyle w:val="ConsPlusTitle"/>
        <w:jc w:val="center"/>
      </w:pPr>
      <w:proofErr w:type="gramStart"/>
      <w:r>
        <w:t>предоставляемых в целях стимулирования муниципальных</w:t>
      </w:r>
      <w:proofErr w:type="gramEnd"/>
    </w:p>
    <w:p w:rsidR="00843AB0" w:rsidRDefault="006855E8">
      <w:pPr>
        <w:pStyle w:val="ConsPlusTitle"/>
        <w:jc w:val="center"/>
      </w:pPr>
      <w:r>
        <w:t xml:space="preserve">образований, принимающих меры по увеличению </w:t>
      </w:r>
      <w:proofErr w:type="gramStart"/>
      <w:r>
        <w:t>налогового</w:t>
      </w:r>
      <w:proofErr w:type="gramEnd"/>
    </w:p>
    <w:p w:rsidR="00843AB0" w:rsidRDefault="006855E8">
      <w:pPr>
        <w:pStyle w:val="ConsPlusTitle"/>
        <w:jc w:val="center"/>
      </w:pPr>
      <w:r>
        <w:t>потенциала, и правил их предоставления</w:t>
      </w:r>
    </w:p>
    <w:p w:rsidR="00843AB0" w:rsidRDefault="00843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3A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AB0" w:rsidRDefault="00843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AB0" w:rsidRDefault="00843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3AB0" w:rsidRDefault="00843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AB0" w:rsidRDefault="00843A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3AB0" w:rsidRDefault="00843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14.07.2020 </w:t>
            </w:r>
            <w:hyperlink r:id="rId7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30.11.2021 </w:t>
            </w:r>
            <w:hyperlink r:id="rId8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AB0" w:rsidRDefault="00843AB0">
            <w:pPr>
              <w:pStyle w:val="ConsPlusNormal"/>
            </w:pPr>
          </w:p>
        </w:tc>
        <w:bookmarkStart w:id="0" w:name="_GoBack"/>
        <w:bookmarkEnd w:id="0"/>
      </w:tr>
    </w:tbl>
    <w:p w:rsidR="00843AB0" w:rsidRDefault="00843AB0">
      <w:pPr>
        <w:pStyle w:val="ConsPlusNormal"/>
        <w:jc w:val="center"/>
      </w:pPr>
    </w:p>
    <w:p w:rsidR="00843AB0" w:rsidRDefault="00843AB0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 и </w:t>
      </w:r>
      <w:hyperlink r:id="rId10">
        <w:r>
          <w:rPr>
            <w:color w:val="0000FF"/>
          </w:rPr>
          <w:t>статьей 7</w:t>
        </w:r>
      </w:hyperlink>
      <w:r>
        <w:t xml:space="preserve"> областного закона от 14 октября 2019 года N 75-оз "О межбюджетных отношениях в Ленинградской области" Правительство Ленинградской области постановляет:</w:t>
      </w:r>
    </w:p>
    <w:p w:rsidR="00843AB0" w:rsidRDefault="00843AB0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14.07.2020 N 500)</w:t>
      </w:r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ind w:firstLine="540"/>
        <w:jc w:val="both"/>
      </w:pPr>
      <w:r>
        <w:t xml:space="preserve">1. Утвердить Методику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правила их предоставления согласно </w:t>
      </w:r>
      <w:hyperlink w:anchor="P3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43AB0" w:rsidRDefault="00843AB0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14.07.2020 N 500)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43AB0" w:rsidRDefault="00843AB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349)</w:t>
      </w:r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jc w:val="right"/>
      </w:pPr>
      <w:r>
        <w:t>Губернатор</w:t>
      </w:r>
    </w:p>
    <w:p w:rsidR="00843AB0" w:rsidRDefault="00843AB0">
      <w:pPr>
        <w:pStyle w:val="ConsPlusNormal"/>
        <w:jc w:val="right"/>
      </w:pPr>
      <w:r>
        <w:t>Ленинградской области</w:t>
      </w:r>
    </w:p>
    <w:p w:rsidR="00843AB0" w:rsidRDefault="00843AB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jc w:val="right"/>
        <w:outlineLvl w:val="0"/>
      </w:pPr>
      <w:bookmarkStart w:id="1" w:name="P31"/>
      <w:bookmarkEnd w:id="1"/>
      <w:r>
        <w:t>УТВЕРЖДЕНЫ</w:t>
      </w:r>
    </w:p>
    <w:p w:rsidR="00843AB0" w:rsidRDefault="00843AB0">
      <w:pPr>
        <w:pStyle w:val="ConsPlusNormal"/>
        <w:jc w:val="right"/>
      </w:pPr>
      <w:r>
        <w:t>постановлением Правительства</w:t>
      </w:r>
    </w:p>
    <w:p w:rsidR="00843AB0" w:rsidRDefault="00843AB0">
      <w:pPr>
        <w:pStyle w:val="ConsPlusNormal"/>
        <w:jc w:val="right"/>
      </w:pPr>
      <w:r>
        <w:t>Ленинградской области</w:t>
      </w:r>
    </w:p>
    <w:p w:rsidR="00843AB0" w:rsidRDefault="00843AB0">
      <w:pPr>
        <w:pStyle w:val="ConsPlusNormal"/>
        <w:jc w:val="right"/>
      </w:pPr>
      <w:r>
        <w:t>от 23.07.2013 N 219</w:t>
      </w:r>
    </w:p>
    <w:p w:rsidR="00843AB0" w:rsidRDefault="00843AB0">
      <w:pPr>
        <w:pStyle w:val="ConsPlusNormal"/>
        <w:jc w:val="right"/>
      </w:pPr>
      <w:r>
        <w:t>(приложение)</w:t>
      </w:r>
    </w:p>
    <w:p w:rsidR="00843AB0" w:rsidRDefault="00843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3A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AB0" w:rsidRDefault="00843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AB0" w:rsidRDefault="00843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3AB0" w:rsidRDefault="00843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AB0" w:rsidRDefault="00843A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3AB0" w:rsidRDefault="00843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4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30.11.2021 </w:t>
            </w:r>
            <w:hyperlink r:id="rId15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AB0" w:rsidRDefault="00843AB0">
            <w:pPr>
              <w:pStyle w:val="ConsPlusNormal"/>
            </w:pPr>
          </w:p>
        </w:tc>
      </w:tr>
    </w:tbl>
    <w:p w:rsidR="00843AB0" w:rsidRDefault="00843AB0">
      <w:pPr>
        <w:pStyle w:val="ConsPlusNormal"/>
        <w:jc w:val="both"/>
      </w:pPr>
    </w:p>
    <w:p w:rsidR="00843AB0" w:rsidRDefault="00843AB0">
      <w:pPr>
        <w:pStyle w:val="ConsPlusTitle"/>
        <w:jc w:val="center"/>
        <w:outlineLvl w:val="1"/>
      </w:pPr>
      <w:r>
        <w:t>1. Методика распределения иных дотаций бюджетам</w:t>
      </w:r>
    </w:p>
    <w:p w:rsidR="00843AB0" w:rsidRDefault="00843AB0">
      <w:pPr>
        <w:pStyle w:val="ConsPlusTitle"/>
        <w:jc w:val="center"/>
      </w:pPr>
      <w:r>
        <w:lastRenderedPageBreak/>
        <w:t>муниципальных образований Ленинградской области,</w:t>
      </w:r>
    </w:p>
    <w:p w:rsidR="00843AB0" w:rsidRDefault="00843AB0">
      <w:pPr>
        <w:pStyle w:val="ConsPlusTitle"/>
        <w:jc w:val="center"/>
      </w:pPr>
      <w:proofErr w:type="gramStart"/>
      <w:r>
        <w:t>предоставляемых в целях стимулирования муниципальных</w:t>
      </w:r>
      <w:proofErr w:type="gramEnd"/>
    </w:p>
    <w:p w:rsidR="00843AB0" w:rsidRDefault="00843AB0">
      <w:pPr>
        <w:pStyle w:val="ConsPlusTitle"/>
        <w:jc w:val="center"/>
      </w:pPr>
      <w:r>
        <w:t>образований, принимающих меры по увеличению</w:t>
      </w:r>
    </w:p>
    <w:p w:rsidR="00843AB0" w:rsidRDefault="00843AB0">
      <w:pPr>
        <w:pStyle w:val="ConsPlusTitle"/>
        <w:jc w:val="center"/>
      </w:pPr>
      <w:r>
        <w:t>налогового потенциала, и правила их предоставления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1.1. Настоящая Методика определяет порядок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 (далее - дотации).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1.2. В целях распределения дотаций производится определение результатов деятельности муниципальных образований по увеличению налогового потенциала.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На основании значений комплексной оценки показателей увеличения налогового потенциала, определяемой исходя из достигнутого уровня и динамики показателей в сферах налогообложения, инвестиционной деятельности и промышленного производства, Комитет финансов Ленинградской области (далее - Комитет) осуществляет отбор шести муниципальных образований, имеющих наилучшие результаты оценки в соответствии с пунктом 1.3 настоящей Методики.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1.3. По результатам комплексной оценки выстраивается рейтинг муниципальных образований. Муниципальному образованию с наименьшим значением комплексной оценки, соответствующей лучшему результату, присваивается первое место.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1.4. Размер дотации, предоставляемой бюджету муниципального образования, определяется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42"/>
        </w:rPr>
        <w:drawing>
          <wp:inline distT="0" distB="0" distL="0" distR="0">
            <wp:extent cx="1257300" cy="6813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дотации,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Д - общий объем дотаций, подлежащих распределению между бюджетами муниципальных образований, предусмотренных областным законом об областном бюджете Ленинградской области на текущий финансовый год;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значение комплексной оценки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1.5. Значение комплексной оценки муниципального образования определяется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3405505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97535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сводной оценке в сфере налогообложения;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97535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сводной оценке в сфере инвестиционной деятельности;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97535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сводной оценке в сфере промышленного производства;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н</w:t>
      </w:r>
      <w:proofErr w:type="spellEnd"/>
      <w:r>
        <w:t xml:space="preserve">, </w:t>
      </w:r>
      <w:proofErr w:type="spellStart"/>
      <w:r>
        <w:t>У</w:t>
      </w:r>
      <w:r>
        <w:rPr>
          <w:vertAlign w:val="superscript"/>
        </w:rPr>
        <w:t>и</w:t>
      </w:r>
      <w:proofErr w:type="spellEnd"/>
      <w:r>
        <w:t xml:space="preserve">, </w:t>
      </w:r>
      <w:proofErr w:type="spellStart"/>
      <w:r>
        <w:t>У</w:t>
      </w:r>
      <w:r>
        <w:rPr>
          <w:vertAlign w:val="superscript"/>
        </w:rPr>
        <w:t>п</w:t>
      </w:r>
      <w:proofErr w:type="spellEnd"/>
      <w:r>
        <w:t xml:space="preserve"> - удельный вес сводных оценок в сферах налогообложения, инвестиционной деятельности и промышленного производства соответственно в комплексной оценке (удельный вес сводной оценки в сфере налогообложения устанавливается в размере 60 процентов, в сфере инвестиционной деятельности - в размере 20 процентов, в сфере промышленного производства - в размере 20 процентов).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Ранжирование муниципальных образований производится по возрастанию в соответствии с полученной сводной оценкой в сферах налогообложения, инвестиционной деятельности и промышленного производства.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1.6. Сводная оценка муниципального образования в сфере налогообложения рассчитывается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844040" cy="26797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сводная оценка i-</w:t>
      </w:r>
      <w:proofErr w:type="spellStart"/>
      <w:r>
        <w:t>го</w:t>
      </w:r>
      <w:proofErr w:type="spellEnd"/>
      <w:r>
        <w:t xml:space="preserve"> муниципального образования в сфере налогообложения;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639445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показателю среднего темпа роста налоговых доходов консолидированного бюджета i-</w:t>
      </w:r>
      <w:proofErr w:type="spellStart"/>
      <w:r>
        <w:t>го</w:t>
      </w:r>
      <w:proofErr w:type="spellEnd"/>
      <w:r>
        <w:t xml:space="preserve"> муниципального района (городского округа) по сопоставимому перечню указанных налоговых доходов (далее - налоговые доходы) за отчетный финансовый год (далее - отчетный год) и два года, предшествующие отчетному году;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54050" cy="26797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показателю среднего объема налоговых доходов в расчете на одного жителя за отчетный год и два года, предшествующие отчетному году.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 xml:space="preserve">Ранжирование муниципальных образований по показателям </w:t>
      </w: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производится по убыванию значений показателей.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1.7. В расчете используются данные по следующим налоговым доходам муниципальных образований: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налог на доходы физических лиц без учета поступлений по дополнительным нормативам отчислений в бюджеты муниципальных районов (городских округов), заменяющим дотации на выравнивание бюджетной обеспеченности муниципальных районов (городских округов);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налог, взимаемый в связи с применением упрощенной системы налогообложения;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 xml:space="preserve">абзац утратил силу с 30 ноября 2021 года.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30.11.2021 N 770;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единый сельскохозяйственный налог;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налог, взимаемый в связи с применением патентной системы налогообложения.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1.8. Средний темп роста налоговых доходов за отчетный год и два года, предшествующие отчетному году, рассчитывается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802130" cy="5556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темп роста налоговых доходов i-</w:t>
      </w:r>
      <w:proofErr w:type="spellStart"/>
      <w:r>
        <w:t>го</w:t>
      </w:r>
      <w:proofErr w:type="spellEnd"/>
      <w:r>
        <w:t xml:space="preserve"> муниципального образования за отчетный год и два года, предшествующие отчетному году;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</w:t>
      </w:r>
      <w:proofErr w:type="gramEnd"/>
      <w:r>
        <w:rPr>
          <w:vertAlign w:val="subscript"/>
        </w:rPr>
        <w:t>ij</w:t>
      </w:r>
      <w:proofErr w:type="spellEnd"/>
      <w:r>
        <w:t>, Н</w:t>
      </w:r>
      <w:r>
        <w:rPr>
          <w:vertAlign w:val="subscript"/>
        </w:rPr>
        <w:t>ij-1</w:t>
      </w:r>
      <w:r>
        <w:t>, Н</w:t>
      </w:r>
      <w:r>
        <w:rPr>
          <w:vertAlign w:val="subscript"/>
        </w:rPr>
        <w:t>ij-2</w:t>
      </w:r>
      <w:r>
        <w:t>, Н</w:t>
      </w:r>
      <w:r>
        <w:rPr>
          <w:vertAlign w:val="subscript"/>
        </w:rPr>
        <w:t>ij-3</w:t>
      </w:r>
      <w:r>
        <w:t xml:space="preserve"> - объемы налоговых доходов i-</w:t>
      </w:r>
      <w:proofErr w:type="spellStart"/>
      <w:r>
        <w:t>го</w:t>
      </w:r>
      <w:proofErr w:type="spellEnd"/>
      <w:r>
        <w:t xml:space="preserve"> муниципального образования в отчетном году и за три года, предшествующие отчетному году, соответственно.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1.9. Средний объем налоговых доходов в расчете на одного жителя за отчетный год и два года, предшествующие отчетному году, определяется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perscript"/>
        </w:rPr>
        <w:t>ср</w:t>
      </w:r>
      <w:r>
        <w:rPr>
          <w:vertAlign w:val="subscript"/>
        </w:rPr>
        <w:t>i</w:t>
      </w:r>
      <w:proofErr w:type="spellEnd"/>
      <w:r>
        <w:t xml:space="preserve"> = (</w:t>
      </w:r>
      <w:proofErr w:type="spellStart"/>
      <w:proofErr w:type="gramStart"/>
      <w:r>
        <w:t>Н</w:t>
      </w:r>
      <w:proofErr w:type="gramEnd"/>
      <w:r>
        <w:rPr>
          <w:vertAlign w:val="subscript"/>
        </w:rPr>
        <w:t>ij</w:t>
      </w:r>
      <w:proofErr w:type="spellEnd"/>
      <w:r>
        <w:t xml:space="preserve"> / </w:t>
      </w:r>
      <w:proofErr w:type="spellStart"/>
      <w:r>
        <w:t>Нас</w:t>
      </w:r>
      <w:r>
        <w:rPr>
          <w:vertAlign w:val="subscript"/>
        </w:rPr>
        <w:t>ij</w:t>
      </w:r>
      <w:proofErr w:type="spellEnd"/>
      <w:r>
        <w:t xml:space="preserve"> + Н</w:t>
      </w:r>
      <w:r>
        <w:rPr>
          <w:vertAlign w:val="subscript"/>
        </w:rPr>
        <w:t>ij-1</w:t>
      </w:r>
      <w:r>
        <w:t xml:space="preserve"> / Нас</w:t>
      </w:r>
      <w:r>
        <w:rPr>
          <w:vertAlign w:val="subscript"/>
        </w:rPr>
        <w:t>ij-1</w:t>
      </w:r>
      <w:r>
        <w:t xml:space="preserve"> + Н</w:t>
      </w:r>
      <w:r>
        <w:rPr>
          <w:vertAlign w:val="subscript"/>
        </w:rPr>
        <w:t>ij-2</w:t>
      </w:r>
      <w:r>
        <w:t xml:space="preserve"> / Нас</w:t>
      </w:r>
      <w:r>
        <w:rPr>
          <w:vertAlign w:val="subscript"/>
        </w:rPr>
        <w:t>ij-2</w:t>
      </w:r>
      <w:r>
        <w:t>) / 3,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объем налоговых доходов i-</w:t>
      </w:r>
      <w:proofErr w:type="spellStart"/>
      <w:r>
        <w:t>го</w:t>
      </w:r>
      <w:proofErr w:type="spellEnd"/>
      <w:r>
        <w:t xml:space="preserve"> муниципального образования в расчете на одного жителя за отчетный год и два года, предшествующие отчетному году;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</w:t>
      </w:r>
      <w:proofErr w:type="gramEnd"/>
      <w:r>
        <w:rPr>
          <w:vertAlign w:val="subscript"/>
        </w:rPr>
        <w:t>ij</w:t>
      </w:r>
      <w:proofErr w:type="spellEnd"/>
      <w:r>
        <w:t>, Н</w:t>
      </w:r>
      <w:r>
        <w:rPr>
          <w:vertAlign w:val="subscript"/>
        </w:rPr>
        <w:t>ij-1</w:t>
      </w:r>
      <w:r>
        <w:t>, Н</w:t>
      </w:r>
      <w:r>
        <w:rPr>
          <w:vertAlign w:val="subscript"/>
        </w:rPr>
        <w:t>ij-2</w:t>
      </w:r>
      <w:r>
        <w:t xml:space="preserve"> - объемы налоговых доходов i-</w:t>
      </w:r>
      <w:proofErr w:type="spellStart"/>
      <w:r>
        <w:t>го</w:t>
      </w:r>
      <w:proofErr w:type="spellEnd"/>
      <w:r>
        <w:t xml:space="preserve"> муниципального образования в отчетном году и за два года, предшествующие отчетному году, соответственно;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r>
        <w:t>Нас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>, Нас</w:t>
      </w:r>
      <w:r>
        <w:rPr>
          <w:vertAlign w:val="subscript"/>
        </w:rPr>
        <w:t>ij-1</w:t>
      </w:r>
      <w:r>
        <w:t>, Нас</w:t>
      </w:r>
      <w:r>
        <w:rPr>
          <w:vertAlign w:val="subscript"/>
        </w:rPr>
        <w:t>ij-2</w:t>
      </w:r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 на начало текущего года, отчетного года и года, предшествующего отчетному году, соответственно.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1.10. Сводная оценка муниципального образования в сфере инвестиционной деятельности рассчитывается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844040" cy="26797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сводная оценка i-</w:t>
      </w:r>
      <w:proofErr w:type="spellStart"/>
      <w:r>
        <w:t>го</w:t>
      </w:r>
      <w:proofErr w:type="spellEnd"/>
      <w:r>
        <w:t xml:space="preserve"> муниципального образования в сфере инвестиционной деятельности;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639445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показателю среднего темпа роста объема инвестиций i-</w:t>
      </w:r>
      <w:proofErr w:type="spellStart"/>
      <w:r>
        <w:t>го</w:t>
      </w:r>
      <w:proofErr w:type="spellEnd"/>
      <w:r>
        <w:t xml:space="preserve"> муниципального образования в основной капитал по организациям, не относящимся к субъектам малого предпринимательства (без бюджетных средств) (далее - объем инвестиций), за отчетный год и два года, предшествующие отчетному году;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54050" cy="26797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показателю среднего объема инвестиций i-</w:t>
      </w:r>
      <w:proofErr w:type="spellStart"/>
      <w:r>
        <w:t>го</w:t>
      </w:r>
      <w:proofErr w:type="spellEnd"/>
      <w:r>
        <w:t xml:space="preserve"> муниципального образования в расчете на одного жителя за отчетный год и два года, предшествующие отчетному году.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 xml:space="preserve">Ранжирование муниципальных образований по показателям </w:t>
      </w:r>
      <w:r>
        <w:rPr>
          <w:noProof/>
          <w:position w:val="-10"/>
        </w:rPr>
        <w:drawing>
          <wp:inline distT="0" distB="0" distL="0" distR="0">
            <wp:extent cx="276860" cy="26797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0"/>
        </w:rPr>
        <w:drawing>
          <wp:inline distT="0" distB="0" distL="0" distR="0">
            <wp:extent cx="276860" cy="26797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производится по убыванию значений показателей.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1.11. Средний темп роста объема инвестиций рассчитывается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15"/>
        </w:rPr>
        <w:drawing>
          <wp:inline distT="0" distB="0" distL="0" distR="0">
            <wp:extent cx="1592580" cy="33528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темп роста объема инвестиций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995680" cy="28321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темпы роста объемов инвестиций i-</w:t>
      </w:r>
      <w:proofErr w:type="spellStart"/>
      <w:r>
        <w:t>го</w:t>
      </w:r>
      <w:proofErr w:type="spellEnd"/>
      <w:r>
        <w:t xml:space="preserve"> муниципального образования в отчетном году и за два года, предшествующие отчетному году, соответственно.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1.12. Средний объем инвестиций в расчете на одного жителя за отчетный год и два года, предшествующие отчетному году, определяется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399665" cy="5556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объем инвестиций i-</w:t>
      </w:r>
      <w:proofErr w:type="spellStart"/>
      <w:r>
        <w:t>го</w:t>
      </w:r>
      <w:proofErr w:type="spellEnd"/>
      <w:r>
        <w:t xml:space="preserve"> муниципального образования в расчете на одного жителя за отчетный год и два года, предшествующие отчетному году;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И</w:t>
      </w:r>
      <w:proofErr w:type="gramEnd"/>
      <w:r>
        <w:rPr>
          <w:vertAlign w:val="subscript"/>
        </w:rPr>
        <w:t>ij</w:t>
      </w:r>
      <w:proofErr w:type="spellEnd"/>
      <w:r>
        <w:t>, И</w:t>
      </w:r>
      <w:r>
        <w:rPr>
          <w:vertAlign w:val="subscript"/>
        </w:rPr>
        <w:t>ij-1</w:t>
      </w:r>
      <w:r>
        <w:t>, И</w:t>
      </w:r>
      <w:r>
        <w:rPr>
          <w:vertAlign w:val="subscript"/>
        </w:rPr>
        <w:t>ij-2</w:t>
      </w:r>
      <w:r>
        <w:t xml:space="preserve"> - объемы инвестиций i-</w:t>
      </w:r>
      <w:proofErr w:type="spellStart"/>
      <w:r>
        <w:t>го</w:t>
      </w:r>
      <w:proofErr w:type="spellEnd"/>
      <w:r>
        <w:t xml:space="preserve"> муниципального образования в отчетном году и за два года, предшествующие отчетному году, соответственно;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r>
        <w:t>Нас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>, Нас</w:t>
      </w:r>
      <w:r>
        <w:rPr>
          <w:vertAlign w:val="subscript"/>
        </w:rPr>
        <w:t>ij-1</w:t>
      </w:r>
      <w:r>
        <w:t>, Нас</w:t>
      </w:r>
      <w:r>
        <w:rPr>
          <w:vertAlign w:val="subscript"/>
        </w:rPr>
        <w:t>ij-2</w:t>
      </w:r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 на начало текущего года, отчетного года и года, предшествующего отчетному году, соответственно.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1.13. Сводная оценка муниципального образования в сфере промышленного производства рассчитывается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844040" cy="26797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сводная оценка i-</w:t>
      </w:r>
      <w:proofErr w:type="spellStart"/>
      <w:r>
        <w:t>го</w:t>
      </w:r>
      <w:proofErr w:type="spellEnd"/>
      <w:r>
        <w:t xml:space="preserve"> муниципального образования в сфере промышленного производства;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639445" cy="26225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показателю среднего темпа роста объема отгруженных товаров собственного производства, выполненных работ и услуг собственными силами по организациям i-</w:t>
      </w:r>
      <w:proofErr w:type="spellStart"/>
      <w:r>
        <w:t>го</w:t>
      </w:r>
      <w:proofErr w:type="spellEnd"/>
      <w:r>
        <w:t xml:space="preserve"> муниципального образования, не относящимся к субъектам малого предпринимательства (далее - объем отгруженных товаров), за отчетный год и два года, предшествующие отчетному году;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54050" cy="26797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i-</w:t>
      </w:r>
      <w:proofErr w:type="spellStart"/>
      <w:r>
        <w:t>го</w:t>
      </w:r>
      <w:proofErr w:type="spellEnd"/>
      <w:r>
        <w:t xml:space="preserve"> муниципального образования по показателю среднего объема отгруженных товаров в расчете на одного жителя i-</w:t>
      </w:r>
      <w:proofErr w:type="spellStart"/>
      <w:r>
        <w:t>го</w:t>
      </w:r>
      <w:proofErr w:type="spellEnd"/>
      <w:r>
        <w:t xml:space="preserve"> муниципального образования за отчетный год и два года, предшествующие отчетному году.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 xml:space="preserve">Ранжирование муниципальных образований по показателям </w:t>
      </w:r>
      <w:r>
        <w:rPr>
          <w:noProof/>
          <w:position w:val="-10"/>
        </w:rPr>
        <w:drawing>
          <wp:inline distT="0" distB="0" distL="0" distR="0">
            <wp:extent cx="276860" cy="26797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0"/>
        </w:rPr>
        <w:drawing>
          <wp:inline distT="0" distB="0" distL="0" distR="0">
            <wp:extent cx="276860" cy="26797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производится по убыванию значений показателей.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1.14. Средний темп роста объема отгруженных товаров за отчетный год и два года, предшествующие отчетному году, рассчитывается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15"/>
        </w:rPr>
        <w:drawing>
          <wp:inline distT="0" distB="0" distL="0" distR="0">
            <wp:extent cx="1592580" cy="33528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темп роста объема отгруженных товаров i-</w:t>
      </w:r>
      <w:proofErr w:type="spellStart"/>
      <w:r>
        <w:t>го</w:t>
      </w:r>
      <w:proofErr w:type="spellEnd"/>
      <w:r>
        <w:t xml:space="preserve"> муниципального образования за отчетный год и два года, предшествующие отчетному году;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995680" cy="28321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темпы роста объемов отгруженных товаров i-</w:t>
      </w:r>
      <w:proofErr w:type="spellStart"/>
      <w:r>
        <w:t>го</w:t>
      </w:r>
      <w:proofErr w:type="spellEnd"/>
      <w:r>
        <w:t xml:space="preserve"> муниципального образования в отчетном году и за два года, предшествующие отчетному году, соответственно.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1.15. Средний объем отгруженных товаров в расчете на одного жителя i-</w:t>
      </w:r>
      <w:proofErr w:type="spellStart"/>
      <w:r>
        <w:t>го</w:t>
      </w:r>
      <w:proofErr w:type="spellEnd"/>
      <w:r>
        <w:t xml:space="preserve"> муниципального образования за отчетный год и два года, предшествующие отчетному году, определяется по формуле: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399665" cy="55562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где: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gramEnd"/>
      <w:r>
        <w:rPr>
          <w:vertAlign w:val="subscript"/>
        </w:rPr>
        <w:t>ij</w:t>
      </w:r>
      <w:proofErr w:type="spellEnd"/>
      <w:r>
        <w:t>, П</w:t>
      </w:r>
      <w:r>
        <w:rPr>
          <w:vertAlign w:val="subscript"/>
        </w:rPr>
        <w:t>ij-1</w:t>
      </w:r>
      <w:r>
        <w:t>, П</w:t>
      </w:r>
      <w:r>
        <w:rPr>
          <w:vertAlign w:val="subscript"/>
        </w:rPr>
        <w:t>ij-2</w:t>
      </w:r>
      <w:r>
        <w:t xml:space="preserve"> - объемы отгруженных товаров i-</w:t>
      </w:r>
      <w:proofErr w:type="spellStart"/>
      <w:r>
        <w:t>го</w:t>
      </w:r>
      <w:proofErr w:type="spellEnd"/>
      <w:r>
        <w:t xml:space="preserve"> муниципального образования в отчетном году и за два года, предшествующие отчетному году, соответственно;</w:t>
      </w:r>
    </w:p>
    <w:p w:rsidR="00843AB0" w:rsidRDefault="00843AB0">
      <w:pPr>
        <w:pStyle w:val="ConsPlusNormal"/>
        <w:spacing w:before="220"/>
        <w:ind w:firstLine="540"/>
        <w:jc w:val="both"/>
      </w:pPr>
      <w:proofErr w:type="spellStart"/>
      <w:r>
        <w:t>Нас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>, Нас</w:t>
      </w:r>
      <w:r>
        <w:rPr>
          <w:vertAlign w:val="subscript"/>
        </w:rPr>
        <w:t>ij-1</w:t>
      </w:r>
      <w:r>
        <w:t>, Нас</w:t>
      </w:r>
      <w:r>
        <w:rPr>
          <w:vertAlign w:val="subscript"/>
        </w:rPr>
        <w:t>ij-2</w:t>
      </w:r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 на начало текущего года, отчетного года и года, предшествующего отчетному году, соответственно.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1.16. В целях оценки муниципальных районов (городских округов) Ленинградской области, принимающих меры по увеличению налогового потенциала (далее - муниципальные образования), применяются следующие показатели: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jc w:val="right"/>
      </w:pPr>
      <w:r>
        <w:t>Таблица</w:t>
      </w:r>
    </w:p>
    <w:p w:rsidR="00843AB0" w:rsidRDefault="00843A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3231"/>
      </w:tblGrid>
      <w:tr w:rsidR="00843AB0">
        <w:tc>
          <w:tcPr>
            <w:tcW w:w="510" w:type="dxa"/>
          </w:tcPr>
          <w:p w:rsidR="00843AB0" w:rsidRDefault="00843A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843AB0" w:rsidRDefault="00843A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31" w:type="dxa"/>
          </w:tcPr>
          <w:p w:rsidR="00843AB0" w:rsidRDefault="00843AB0">
            <w:pPr>
              <w:pStyle w:val="ConsPlusNormal"/>
              <w:jc w:val="center"/>
            </w:pPr>
            <w:r>
              <w:t>Орган исполнительной власти Ленинградской области, ответственный за предоставление значений по показателю</w:t>
            </w:r>
          </w:p>
        </w:tc>
      </w:tr>
      <w:tr w:rsidR="00843AB0">
        <w:tc>
          <w:tcPr>
            <w:tcW w:w="510" w:type="dxa"/>
          </w:tcPr>
          <w:p w:rsidR="00843AB0" w:rsidRDefault="00843A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843AB0" w:rsidRDefault="00843AB0">
            <w:pPr>
              <w:pStyle w:val="ConsPlusNormal"/>
            </w:pPr>
            <w:r>
              <w:t>Численность населения муниципального района (городского округа) Ленинградской области на начало года, тыс. чел.</w:t>
            </w:r>
          </w:p>
        </w:tc>
        <w:tc>
          <w:tcPr>
            <w:tcW w:w="3231" w:type="dxa"/>
          </w:tcPr>
          <w:p w:rsidR="00843AB0" w:rsidRDefault="00843AB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843AB0">
        <w:tc>
          <w:tcPr>
            <w:tcW w:w="510" w:type="dxa"/>
          </w:tcPr>
          <w:p w:rsidR="00843AB0" w:rsidRDefault="00843A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843AB0" w:rsidRDefault="00843AB0">
            <w:pPr>
              <w:pStyle w:val="ConsPlusNormal"/>
            </w:pPr>
            <w:r>
              <w:t>Объем налоговых доходов консолидированного бюджета муниципального района (бюджета городского округа), тыс. руб.</w:t>
            </w:r>
          </w:p>
        </w:tc>
        <w:tc>
          <w:tcPr>
            <w:tcW w:w="3231" w:type="dxa"/>
          </w:tcPr>
          <w:p w:rsidR="00843AB0" w:rsidRDefault="00843AB0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843AB0">
        <w:tc>
          <w:tcPr>
            <w:tcW w:w="510" w:type="dxa"/>
          </w:tcPr>
          <w:p w:rsidR="00843AB0" w:rsidRDefault="00843A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843AB0" w:rsidRDefault="00843AB0">
            <w:pPr>
              <w:pStyle w:val="ConsPlusNormal"/>
            </w:pPr>
            <w:r>
              <w:t>Объем инвестиций муниципального района (городского округа) в основной капитал по организациям, не относящимся к субъектам малого предпринимательства (без бюджетных средств), тыс. руб.</w:t>
            </w:r>
          </w:p>
        </w:tc>
        <w:tc>
          <w:tcPr>
            <w:tcW w:w="3231" w:type="dxa"/>
          </w:tcPr>
          <w:p w:rsidR="00843AB0" w:rsidRDefault="00843AB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843AB0">
        <w:tc>
          <w:tcPr>
            <w:tcW w:w="510" w:type="dxa"/>
          </w:tcPr>
          <w:p w:rsidR="00843AB0" w:rsidRDefault="00843A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843AB0" w:rsidRDefault="00843AB0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по организациям муниципального района (городского округа), не относящимся к субъектам малого предпринимательства, тыс. руб.</w:t>
            </w:r>
          </w:p>
        </w:tc>
        <w:tc>
          <w:tcPr>
            <w:tcW w:w="3231" w:type="dxa"/>
          </w:tcPr>
          <w:p w:rsidR="00843AB0" w:rsidRDefault="00843AB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843AB0">
        <w:tc>
          <w:tcPr>
            <w:tcW w:w="510" w:type="dxa"/>
          </w:tcPr>
          <w:p w:rsidR="00843AB0" w:rsidRDefault="00843A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843AB0" w:rsidRDefault="00843AB0">
            <w:pPr>
              <w:pStyle w:val="ConsPlusNormal"/>
            </w:pPr>
            <w:r>
              <w:t>Темп роста объема инвестиций муниципального района (городского округа) в основном капитале по организациям, не относящимся к субъектам малого предпринимательства (без бюджетных средств)</w:t>
            </w:r>
          </w:p>
        </w:tc>
        <w:tc>
          <w:tcPr>
            <w:tcW w:w="3231" w:type="dxa"/>
          </w:tcPr>
          <w:p w:rsidR="00843AB0" w:rsidRDefault="00843AB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843AB0">
        <w:tc>
          <w:tcPr>
            <w:tcW w:w="510" w:type="dxa"/>
          </w:tcPr>
          <w:p w:rsidR="00843AB0" w:rsidRDefault="00843A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843AB0" w:rsidRDefault="00843AB0">
            <w:pPr>
              <w:pStyle w:val="ConsPlusNormal"/>
            </w:pPr>
            <w:r>
              <w:t>Темп роста объема отгруженных товаров собственного производства, выполненных работ и услуг собственными силами по организациям муниципального района (городского округа), не относящимся к субъектам малого предпринимательства</w:t>
            </w:r>
          </w:p>
        </w:tc>
        <w:tc>
          <w:tcPr>
            <w:tcW w:w="3231" w:type="dxa"/>
          </w:tcPr>
          <w:p w:rsidR="00843AB0" w:rsidRDefault="00843AB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</w:tbl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Title"/>
        <w:jc w:val="center"/>
        <w:outlineLvl w:val="1"/>
      </w:pPr>
      <w:r>
        <w:t>2. Правила предоставления дотаций</w:t>
      </w:r>
    </w:p>
    <w:p w:rsidR="00843AB0" w:rsidRDefault="00843AB0">
      <w:pPr>
        <w:pStyle w:val="ConsPlusNormal"/>
        <w:ind w:firstLine="540"/>
        <w:jc w:val="both"/>
      </w:pPr>
    </w:p>
    <w:p w:rsidR="00843AB0" w:rsidRDefault="00843AB0">
      <w:pPr>
        <w:pStyle w:val="ConsPlusNormal"/>
        <w:ind w:firstLine="540"/>
        <w:jc w:val="both"/>
      </w:pPr>
      <w:r>
        <w:t>2.1. 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2.2. Распределение дотаций утверждается ежегодно до 1 июля текущего финансового года распоряжением Правительства Ленинградской области.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>В 2020 году распределение дотаций утверждается до 15 августа 2020 года.</w:t>
      </w:r>
    </w:p>
    <w:p w:rsidR="00843AB0" w:rsidRDefault="00843AB0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Перечисление дотаций осуществляется Комитетом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районов (городских округов) в течение 15 рабочих дней с даты принятия распоряжения Правительства Ленинградской области о распределении дотаций.</w:t>
      </w:r>
      <w:proofErr w:type="gramEnd"/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jc w:val="both"/>
      </w:pPr>
    </w:p>
    <w:p w:rsidR="00843AB0" w:rsidRDefault="00843A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568" w:rsidRDefault="00172568"/>
    <w:sectPr w:rsidR="00172568" w:rsidSect="002A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0"/>
    <w:rsid w:val="00172568"/>
    <w:rsid w:val="006855E8"/>
    <w:rsid w:val="008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3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3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3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3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A104DEA9C0E34DEF47635E45289C392EFDE4FD555C0381A4FBDCB76C8B7892F9582AB1313BBB2E241D717F5D7BB9281470F846DB26ABE0U7D3N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50" Type="http://schemas.openxmlformats.org/officeDocument/2006/relationships/image" Target="media/image34.wmf"/><Relationship Id="rId7" Type="http://schemas.openxmlformats.org/officeDocument/2006/relationships/hyperlink" Target="consultantplus://offline/ref=98A104DEA9C0E34DEF47635E45289C392EF9E4FA555D0381A4FBDCB76C8B7892F9582AB1313BBB2C211D717F5D7BB9281470F846DB26ABE0U7D3N" TargetMode="External"/><Relationship Id="rId12" Type="http://schemas.openxmlformats.org/officeDocument/2006/relationships/hyperlink" Target="consultantplus://offline/ref=98A104DEA9C0E34DEF47635E45289C392EF9E4FA555D0381A4FBDCB76C8B7892F9582AB1313BBB2D241D717F5D7BB9281470F846DB26ABE0U7D3N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41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8A104DEA9C0E34DEF47635E45289C392EFDE4FD555C0381A4FBDCB76C8B7892F9582AB1313BBB2E241D717F5D7BB9281470F846DB26ABE0U7D3N" TargetMode="External"/><Relationship Id="rId11" Type="http://schemas.openxmlformats.org/officeDocument/2006/relationships/hyperlink" Target="consultantplus://offline/ref=98A104DEA9C0E34DEF47635E45289C392EF9E4FA555D0381A4FBDCB76C8B7892F9582AB1313BBB2C2C1D717F5D7BB9281470F846DB26ABE0U7D3N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A104DEA9C0E34DEF47635E45289C392EFFE5F8545A0381A4FBDCB76C8B7892F9582AB1313BBB2C211D717F5D7BB9281470F846DB26ABE0U7D3N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Relationship Id="rId10" Type="http://schemas.openxmlformats.org/officeDocument/2006/relationships/hyperlink" Target="consultantplus://offline/ref=98A104DEA9C0E34DEF47635E45289C392EFEEAF9515F0381A4FBDCB76C8B7892F9582AB1313BBB292C1D717F5D7BB9281470F846DB26ABE0U7D3N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104DEA9C0E34DEF477C4F50289C3928F8EEFE515C0381A4FBDCB76C8B7892F9582AB5363AB8277047617B142CB4341469E643C526UAD8N" TargetMode="External"/><Relationship Id="rId14" Type="http://schemas.openxmlformats.org/officeDocument/2006/relationships/hyperlink" Target="consultantplus://offline/ref=98A104DEA9C0E34DEF47635E45289C392EF9E4FA555D0381A4FBDCB76C8B7892F9582AB1313BBB2D251D717F5D7BB9281470F846DB26ABE0U7D3N" TargetMode="External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98A104DEA9C0E34DEF47635E45289C392EFFE5F8545A0381A4FBDCB76C8B7892F9582AB1313BBB2C211D717F5D7BB9281470F846DB26ABE0U7D3N" TargetMode="External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8" Type="http://schemas.openxmlformats.org/officeDocument/2006/relationships/hyperlink" Target="consultantplus://offline/ref=98A104DEA9C0E34DEF47635E45289C392EFFE5F8545A0381A4FBDCB76C8B7892F9582AB1313BBB2C211D717F5D7BB9281470F846DB26ABE0U7D3N" TargetMode="External"/><Relationship Id="rId51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Костливцева Наталья Максимовна</cp:lastModifiedBy>
  <cp:revision>2</cp:revision>
  <dcterms:created xsi:type="dcterms:W3CDTF">2023-07-24T14:45:00Z</dcterms:created>
  <dcterms:modified xsi:type="dcterms:W3CDTF">2023-07-24T14:45:00Z</dcterms:modified>
</cp:coreProperties>
</file>