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E" w:rsidRPr="00A1179E" w:rsidRDefault="00A1179E" w:rsidP="00A1179E">
      <w:pPr>
        <w:ind w:left="6096"/>
      </w:pPr>
      <w:r w:rsidRPr="00A1179E">
        <w:t xml:space="preserve">Таблица </w:t>
      </w:r>
      <w:r>
        <w:t>17</w:t>
      </w:r>
    </w:p>
    <w:p w:rsidR="00A1179E" w:rsidRPr="00A1179E" w:rsidRDefault="00A1179E" w:rsidP="00A1179E">
      <w:pPr>
        <w:ind w:left="6096"/>
      </w:pPr>
      <w:r w:rsidRPr="00A1179E">
        <w:t>приложения 15</w:t>
      </w:r>
    </w:p>
    <w:p w:rsidR="00A1179E" w:rsidRPr="00A1179E" w:rsidRDefault="00A1179E" w:rsidP="00A1179E">
      <w:pPr>
        <w:ind w:left="6096"/>
      </w:pPr>
      <w:r w:rsidRPr="00A1179E">
        <w:t>к областному закону</w:t>
      </w:r>
    </w:p>
    <w:p w:rsidR="00A1179E" w:rsidRPr="00A1179E" w:rsidRDefault="00A1179E" w:rsidP="00A1179E">
      <w:pPr>
        <w:ind w:left="6096"/>
      </w:pPr>
      <w:r w:rsidRPr="00A1179E">
        <w:t>от 19 декабря 2022 года № 151-оз</w:t>
      </w:r>
    </w:p>
    <w:p w:rsidR="000037C9" w:rsidRPr="000037C9" w:rsidRDefault="00A1179E" w:rsidP="00A1179E">
      <w:pPr>
        <w:ind w:left="6096"/>
      </w:pPr>
      <w:proofErr w:type="gramStart"/>
      <w:r w:rsidRPr="00A1179E">
        <w:t>(в редакции областного закона</w:t>
      </w:r>
      <w:proofErr w:type="gramEnd"/>
    </w:p>
    <w:p w:rsidR="00A1179E" w:rsidRDefault="00A1179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Default="00F51B72" w:rsidP="00F51B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F51B72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полномочий по освобождению детей-сирот и детей, оставшихся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без попечения родителей, в период пребывания в организациях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нахождения под опекой (попечительством), в том числе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воспитывающихся в приемных семьях, от платы за жилое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помещение и коммунальные услуги (включая взнос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на капитальный ремонт общего имущества в</w:t>
      </w:r>
      <w:proofErr w:type="gramEnd"/>
      <w:r w:rsidRPr="00F51B72">
        <w:rPr>
          <w:b/>
          <w:bCs/>
          <w:sz w:val="26"/>
          <w:szCs w:val="26"/>
          <w:lang w:bidi="ne-NP"/>
        </w:rPr>
        <w:t xml:space="preserve"> многоквартирном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 xml:space="preserve">доме) за жилое помещение, право </w:t>
      </w:r>
      <w:proofErr w:type="gramStart"/>
      <w:r w:rsidRPr="00F51B72">
        <w:rPr>
          <w:b/>
          <w:bCs/>
          <w:sz w:val="26"/>
          <w:szCs w:val="26"/>
          <w:lang w:bidi="ne-NP"/>
        </w:rPr>
        <w:t>пользования</w:t>
      </w:r>
      <w:proofErr w:type="gramEnd"/>
      <w:r w:rsidRPr="00F51B72">
        <w:rPr>
          <w:b/>
          <w:bCs/>
          <w:sz w:val="26"/>
          <w:szCs w:val="26"/>
          <w:lang w:bidi="ne-NP"/>
        </w:rPr>
        <w:t xml:space="preserve"> которым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сохраняется до достижения ими совершеннолетия, а также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от платы за определение технического состояния и оценку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стоимости указанного жилого помещения в случае передачи его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в собственность, лиц из числа детей-сирот и детей,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оставшихся без попечения родителей, проживающих в жилых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помещениях, право пользования которыми сохранялось за ними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до достижения возраста 18 лет, либо вновь предоставленном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жилом помещении, обучающихся по очной форме обучения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по основным профессиональным образовательным программам</w:t>
      </w:r>
      <w:r>
        <w:rPr>
          <w:b/>
          <w:bCs/>
          <w:sz w:val="26"/>
          <w:szCs w:val="26"/>
          <w:lang w:bidi="ne-NP"/>
        </w:rPr>
        <w:t xml:space="preserve"> </w:t>
      </w:r>
      <w:proofErr w:type="gramStart"/>
      <w:r w:rsidRPr="00F51B72">
        <w:rPr>
          <w:b/>
          <w:bCs/>
          <w:sz w:val="26"/>
          <w:szCs w:val="26"/>
          <w:lang w:bidi="ne-NP"/>
        </w:rPr>
        <w:t>и(</w:t>
      </w:r>
      <w:proofErr w:type="gramEnd"/>
      <w:r w:rsidRPr="00F51B72">
        <w:rPr>
          <w:b/>
          <w:bCs/>
          <w:sz w:val="26"/>
          <w:szCs w:val="26"/>
          <w:lang w:bidi="ne-NP"/>
        </w:rPr>
        <w:t>или) по программам профессиональной подготовки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по профессиям рабочих, должностям служащих, находящихся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на полном государственном обеспечении, в период прохождения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военной службы по призыву, отбывания наказания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в исправительных учреждениях от платы за жилое помещение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и коммунальные услуги (включая взнос на капитальный ремонт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общего имущества в многоквартирном доме), а также от платы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за определение технического состояния и оценку стоимости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указанного жилого помещения в случае передачи его</w:t>
      </w:r>
      <w:r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в собственность на 2023 год и на плановый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Pr="00F51B72">
        <w:rPr>
          <w:b/>
          <w:bCs/>
          <w:sz w:val="26"/>
          <w:szCs w:val="26"/>
          <w:lang w:bidi="ne-NP"/>
        </w:rPr>
        <w:t>период 2024 и 2025 годов</w:t>
      </w:r>
    </w:p>
    <w:p w:rsidR="00F51B72" w:rsidRPr="00697E4E" w:rsidRDefault="00F51B72" w:rsidP="00F51B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4743"/>
        <w:gridCol w:w="1519"/>
        <w:gridCol w:w="1519"/>
        <w:gridCol w:w="1519"/>
      </w:tblGrid>
      <w:tr w:rsidR="006F09E7" w:rsidRPr="000721BF" w:rsidTr="00A1179E">
        <w:trPr>
          <w:cantSplit/>
          <w:trHeight w:val="20"/>
          <w:jc w:val="center"/>
        </w:trPr>
        <w:tc>
          <w:tcPr>
            <w:tcW w:w="515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43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A1179E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1179E">
        <w:trPr>
          <w:cantSplit/>
          <w:trHeight w:val="20"/>
          <w:jc w:val="center"/>
        </w:trPr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3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31E5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714,2</w:t>
            </w:r>
          </w:p>
        </w:tc>
        <w:tc>
          <w:tcPr>
            <w:tcW w:w="1519" w:type="dxa"/>
            <w:tcBorders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164,0</w:t>
            </w:r>
          </w:p>
        </w:tc>
        <w:tc>
          <w:tcPr>
            <w:tcW w:w="1519" w:type="dxa"/>
            <w:tcBorders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164,0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029,0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990,0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716,7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716,7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391,6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077,6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077,6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3725,8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725,8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725,8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750,1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972,7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972,7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484,0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484,0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1879,4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879,4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879,4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3216,0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506,8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914,0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914,0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  <w:bottom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908,5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636,2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5</w:t>
            </w:r>
            <w:r w:rsidR="002B23D1">
              <w:t xml:space="preserve"> </w:t>
            </w:r>
            <w:bookmarkStart w:id="0" w:name="_GoBack"/>
            <w:bookmarkEnd w:id="0"/>
            <w:r w:rsidRPr="005C2899">
              <w:t>636,2</w:t>
            </w:r>
          </w:p>
        </w:tc>
      </w:tr>
      <w:tr w:rsidR="00654B37" w:rsidRPr="00B70556" w:rsidTr="00A1179E">
        <w:trPr>
          <w:cantSplit/>
          <w:trHeight w:val="20"/>
          <w:jc w:val="center"/>
        </w:trPr>
        <w:tc>
          <w:tcPr>
            <w:tcW w:w="515" w:type="dxa"/>
            <w:tcBorders>
              <w:top w:val="nil"/>
            </w:tcBorders>
          </w:tcPr>
          <w:p w:rsidR="00654B37" w:rsidRPr="000037C9" w:rsidRDefault="00654B3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3" w:type="dxa"/>
            <w:tcBorders>
              <w:top w:val="nil"/>
            </w:tcBorders>
          </w:tcPr>
          <w:p w:rsidR="00654B37" w:rsidRPr="000037C9" w:rsidRDefault="00654B3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932,4</w:t>
            </w:r>
          </w:p>
        </w:tc>
        <w:tc>
          <w:tcPr>
            <w:tcW w:w="1519" w:type="dxa"/>
            <w:tcBorders>
              <w:top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426,9</w:t>
            </w:r>
          </w:p>
        </w:tc>
        <w:tc>
          <w:tcPr>
            <w:tcW w:w="1519" w:type="dxa"/>
            <w:tcBorders>
              <w:top w:val="nil"/>
            </w:tcBorders>
          </w:tcPr>
          <w:p w:rsidR="00654B37" w:rsidRPr="005C2899" w:rsidRDefault="00654B37" w:rsidP="00654B37">
            <w:pPr>
              <w:jc w:val="center"/>
            </w:pPr>
            <w:r w:rsidRPr="005C2899">
              <w:t>426,9</w:t>
            </w:r>
          </w:p>
        </w:tc>
      </w:tr>
      <w:tr w:rsidR="00654B37" w:rsidRPr="00FE0214" w:rsidTr="00A1179E">
        <w:trPr>
          <w:cantSplit/>
          <w:trHeight w:val="20"/>
          <w:jc w:val="center"/>
        </w:trPr>
        <w:tc>
          <w:tcPr>
            <w:tcW w:w="515" w:type="dxa"/>
          </w:tcPr>
          <w:p w:rsidR="00654B37" w:rsidRPr="00FE0214" w:rsidRDefault="00654B3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654B37" w:rsidRPr="00FE0214" w:rsidRDefault="00654B3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54B37" w:rsidRPr="00654B37" w:rsidRDefault="00654B37" w:rsidP="00654B37">
            <w:pPr>
              <w:jc w:val="center"/>
              <w:rPr>
                <w:b/>
              </w:rPr>
            </w:pPr>
            <w:r w:rsidRPr="00654B37">
              <w:rPr>
                <w:b/>
              </w:rPr>
              <w:t>64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703,3</w:t>
            </w:r>
          </w:p>
        </w:tc>
        <w:tc>
          <w:tcPr>
            <w:tcW w:w="1519" w:type="dxa"/>
          </w:tcPr>
          <w:p w:rsidR="00654B37" w:rsidRPr="00654B37" w:rsidRDefault="00654B37" w:rsidP="00654B37">
            <w:pPr>
              <w:jc w:val="center"/>
              <w:rPr>
                <w:b/>
              </w:rPr>
            </w:pPr>
            <w:r w:rsidRPr="00654B37">
              <w:rPr>
                <w:b/>
              </w:rPr>
              <w:t>54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926,1</w:t>
            </w:r>
          </w:p>
        </w:tc>
        <w:tc>
          <w:tcPr>
            <w:tcW w:w="1519" w:type="dxa"/>
          </w:tcPr>
          <w:p w:rsidR="00654B37" w:rsidRPr="00654B37" w:rsidRDefault="00654B37" w:rsidP="00654B37">
            <w:pPr>
              <w:jc w:val="center"/>
              <w:rPr>
                <w:b/>
              </w:rPr>
            </w:pPr>
            <w:r w:rsidRPr="00654B37">
              <w:rPr>
                <w:b/>
              </w:rPr>
              <w:t>54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926,1</w:t>
            </w:r>
          </w:p>
        </w:tc>
      </w:tr>
    </w:tbl>
    <w:p w:rsidR="00C348DC" w:rsidRPr="00166FE8" w:rsidRDefault="00C348DC" w:rsidP="00654B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A1179E">
      <w:pgSz w:w="11906" w:h="16838"/>
      <w:pgMar w:top="851" w:right="737" w:bottom="14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B23D1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0EE8"/>
    <w:rsid w:val="00453D7F"/>
    <w:rsid w:val="00475234"/>
    <w:rsid w:val="00491CCB"/>
    <w:rsid w:val="004D5521"/>
    <w:rsid w:val="004F719A"/>
    <w:rsid w:val="00581417"/>
    <w:rsid w:val="0058685D"/>
    <w:rsid w:val="00603396"/>
    <w:rsid w:val="0061087F"/>
    <w:rsid w:val="006129C4"/>
    <w:rsid w:val="006256FD"/>
    <w:rsid w:val="006452FF"/>
    <w:rsid w:val="00654B37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1179E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75315"/>
    <w:rsid w:val="00E9731E"/>
    <w:rsid w:val="00ED38C4"/>
    <w:rsid w:val="00EF3A90"/>
    <w:rsid w:val="00EF57A8"/>
    <w:rsid w:val="00F032DB"/>
    <w:rsid w:val="00F51B72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2023-03-13T14:02:00Z</cp:lastPrinted>
  <dcterms:created xsi:type="dcterms:W3CDTF">2020-08-12T14:32:00Z</dcterms:created>
  <dcterms:modified xsi:type="dcterms:W3CDTF">2023-03-13T14:04:00Z</dcterms:modified>
</cp:coreProperties>
</file>