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11" w:rsidRDefault="00141211" w:rsidP="00141211">
      <w:pPr>
        <w:pStyle w:val="ConsPlusNormal"/>
        <w:jc w:val="right"/>
        <w:outlineLvl w:val="1"/>
      </w:pPr>
      <w:r>
        <w:t xml:space="preserve">Приложение </w:t>
      </w:r>
      <w:r w:rsidR="000E202F">
        <w:t>10</w:t>
      </w:r>
    </w:p>
    <w:p w:rsidR="00141211" w:rsidRDefault="000E202F" w:rsidP="00141211">
      <w:pPr>
        <w:pStyle w:val="ConsPlusNormal"/>
        <w:jc w:val="right"/>
      </w:pPr>
      <w:r>
        <w:t>к государственной программе</w:t>
      </w:r>
    </w:p>
    <w:p w:rsidR="00141211" w:rsidRDefault="000E202F" w:rsidP="00141211">
      <w:pPr>
        <w:pStyle w:val="ConsPlusNormal"/>
        <w:jc w:val="right"/>
      </w:pPr>
      <w:r>
        <w:t>от 27.12.2019 № 636</w:t>
      </w:r>
    </w:p>
    <w:p w:rsidR="00141211" w:rsidRDefault="00141211" w:rsidP="00141211">
      <w:pPr>
        <w:pStyle w:val="ConsPlusTitle"/>
        <w:jc w:val="center"/>
      </w:pPr>
      <w:bookmarkStart w:id="0" w:name="P6700"/>
      <w:bookmarkEnd w:id="0"/>
      <w:r>
        <w:t>ПОРЯДОК</w:t>
      </w:r>
    </w:p>
    <w:p w:rsidR="00141211" w:rsidRDefault="00141211" w:rsidP="00141211">
      <w:pPr>
        <w:pStyle w:val="ConsPlusTitle"/>
        <w:jc w:val="center"/>
      </w:pPr>
      <w:r>
        <w:t>ПРЕДОСТАВЛЕНИЯ И РАСПРЕДЕЛЕНИЯ СУБСИДИИ ИЗ ОБЛАСТНОГО</w:t>
      </w:r>
    </w:p>
    <w:p w:rsidR="00141211" w:rsidRDefault="00141211" w:rsidP="00141211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141211" w:rsidRDefault="00141211" w:rsidP="00141211">
      <w:pPr>
        <w:pStyle w:val="ConsPlusTitle"/>
        <w:jc w:val="center"/>
      </w:pPr>
      <w:r>
        <w:t>ОБРАЗОВАНИЙ ЛЕНИНГРАДСКОЙ ОБЛАСТИ НА МЕРОПРИЯТИЯ</w:t>
      </w:r>
    </w:p>
    <w:p w:rsidR="00141211" w:rsidRDefault="00141211" w:rsidP="00141211">
      <w:pPr>
        <w:pStyle w:val="ConsPlusTitle"/>
        <w:jc w:val="center"/>
      </w:pPr>
      <w:r>
        <w:t>ПО КАПИТАЛЬНОМУ РЕМОНТУ ОБЪЕКТОВ В РАМКАХ РЕАЛИЗАЦИИ</w:t>
      </w:r>
    </w:p>
    <w:p w:rsidR="00141211" w:rsidRDefault="00141211" w:rsidP="00141211">
      <w:pPr>
        <w:pStyle w:val="ConsPlusTitle"/>
        <w:jc w:val="center"/>
      </w:pPr>
      <w:r>
        <w:t>МЕРОПРИЯТИЙ, НАПРАВЛЕННЫХ НА ДОСТИЖЕНИЕ ЦЕЛИ ФЕДЕРАЛЬНОГО</w:t>
      </w:r>
    </w:p>
    <w:p w:rsidR="00141211" w:rsidRDefault="00141211" w:rsidP="00141211">
      <w:pPr>
        <w:pStyle w:val="ConsPlusTitle"/>
        <w:jc w:val="center"/>
      </w:pPr>
      <w:r>
        <w:t>ПРОЕКТА "СОВРЕМЕННЫЙ ОБЛИК СЕЛЬСКИХ ТЕРРИТОРИЙ"</w:t>
      </w:r>
    </w:p>
    <w:p w:rsidR="00141211" w:rsidRDefault="00141211" w:rsidP="00141211">
      <w:pPr>
        <w:pStyle w:val="ConsPlusNormal"/>
        <w:jc w:val="center"/>
      </w:pPr>
    </w:p>
    <w:p w:rsidR="00141211" w:rsidRDefault="00141211" w:rsidP="00141211">
      <w:pPr>
        <w:pStyle w:val="ConsPlusTitle"/>
        <w:jc w:val="center"/>
        <w:outlineLvl w:val="2"/>
      </w:pPr>
      <w:r>
        <w:t>1. Общие положения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по капитальному ремонту объектов в рамках реализации мероприятий, направленных на достижение цели федерального проекта "Современный облик сельских территорий" (далее - субсидия).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1.2. 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7">
        <w:r>
          <w:rPr>
            <w:color w:val="0000FF"/>
          </w:rPr>
          <w:t>пунктами 11</w:t>
        </w:r>
      </w:hyperlink>
      <w:r>
        <w:t xml:space="preserve">, </w:t>
      </w:r>
      <w:hyperlink r:id="rId8">
        <w:r>
          <w:rPr>
            <w:color w:val="0000FF"/>
          </w:rPr>
          <w:t>12</w:t>
        </w:r>
      </w:hyperlink>
      <w:r>
        <w:t xml:space="preserve">, </w:t>
      </w:r>
      <w:hyperlink r:id="rId9">
        <w:r>
          <w:rPr>
            <w:color w:val="0000FF"/>
          </w:rPr>
          <w:t>13 части 1 статьи 14</w:t>
        </w:r>
      </w:hyperlink>
      <w:r>
        <w:t xml:space="preserve"> и </w:t>
      </w:r>
      <w:hyperlink r:id="rId10">
        <w:r>
          <w:rPr>
            <w:color w:val="0000FF"/>
          </w:rPr>
          <w:t>пунктами 19</w:t>
        </w:r>
      </w:hyperlink>
      <w:r>
        <w:t xml:space="preserve">, </w:t>
      </w:r>
      <w:hyperlink r:id="rId11">
        <w:r>
          <w:rPr>
            <w:color w:val="0000FF"/>
          </w:rPr>
          <w:t>19.1</w:t>
        </w:r>
      </w:hyperlink>
      <w:r>
        <w:t xml:space="preserve">, </w:t>
      </w:r>
      <w:hyperlink r:id="rId12">
        <w:r>
          <w:rPr>
            <w:color w:val="0000FF"/>
          </w:rPr>
          <w:t>19.3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рыбохозяйственному комплексу Ленинградской области (далее - комитет).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1.4. В целях реализации настоящего Порядка используются следующие понятия: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958">
        <w:r>
          <w:rPr>
            <w:color w:val="0000FF"/>
          </w:rPr>
          <w:t>перечень</w:t>
        </w:r>
      </w:hyperlink>
      <w:r>
        <w:t xml:space="preserve"> которых установлен приложением 4 к государственной программе;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объект культуры - объект капитального строительства, находящийся в собственности муниципального образования, используемый для размещения муниципального учреждения, оказывающего услуги в сфере культуры;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переходящий объект - объект культуры,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субсидии.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141211" w:rsidRDefault="00141211" w:rsidP="00141211">
      <w:pPr>
        <w:pStyle w:val="ConsPlusTitle"/>
        <w:jc w:val="center"/>
      </w:pPr>
      <w:r>
        <w:t>муниципальным образованиям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2.1. Субсидия предоставляется в целях повышения уровня обустройства населенных пунктов, расположенных в сельской местности.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2.2. Субсидия предоставляется на капитальный ремонт объектов культуры (отдельных помещений объектов культуры), в том числе на приобретение монтируемого и немонтируемого оборудования.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2.3. Результатом использования субсидии является процент выполнения работ по капитальному ремонту объекта культуры.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141211" w:rsidRDefault="00141211" w:rsidP="00E23A7A">
      <w:pPr>
        <w:pStyle w:val="ConsPlusNormal"/>
        <w:keepLines/>
        <w:spacing w:before="200"/>
        <w:ind w:firstLine="539"/>
        <w:jc w:val="both"/>
      </w:pPr>
      <w:r>
        <w:lastRenderedPageBreak/>
        <w:t xml:space="preserve">2.4. Субсидии предоставляются при соблюдении условий, установленных </w:t>
      </w:r>
      <w:hyperlink r:id="rId13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Title"/>
        <w:jc w:val="center"/>
        <w:outlineLvl w:val="2"/>
      </w:pPr>
      <w:bookmarkStart w:id="1" w:name="P6727"/>
      <w:bookmarkEnd w:id="1"/>
      <w:r>
        <w:t>3. Порядок и критерии отбора муниципальных образований</w:t>
      </w:r>
    </w:p>
    <w:p w:rsidR="00141211" w:rsidRDefault="00141211" w:rsidP="00141211">
      <w:pPr>
        <w:pStyle w:val="ConsPlusTitle"/>
        <w:jc w:val="center"/>
      </w:pPr>
      <w:r>
        <w:t>для предоставления субсидии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Персональный состав комиссии и положение о комиссии утверждаются правовым актом комитета.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3.3. Критериями отбора муниципальных образований для допуска к оценке заявок являются: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отнесение территории муниципального образования к сельским территориям;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наличие на территории муниципального образования объекта культуры.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3.4. 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Извещение содержит следующие сведения: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полное наименование комитета, его местонахождение, почтовый адрес, контактный телефон, адрес электронной почты;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форму заявки;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место и время приема заявки;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срок приема заявки;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перечень документов, прилагаемых к заявке;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информацию о планируемом сроке рассмотрения заявок;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контактное лицо для разъяснения вопросов по подготовке и подаче заявки и прилагаемых к ней документов.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3.5. Срок приема заявок от муниципальных образований составляет пять рабочих дней со дня размещения извещения на интернет-портале.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Конкретные даты начала и окончания срока приема заявок фиксируются в извещении.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Комитет вправе перенести дату окончания срока приема заявок.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Информация о переносе срока приема заявок вносится в извещение и размещается на интернет-портале не позднее двух рабочих дней до даты окончания срока приема заявок.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bookmarkStart w:id="2" w:name="P6749"/>
      <w:bookmarkEnd w:id="2"/>
      <w:r>
        <w:t>3.6. Муниципальные образования в срок, установленный в извещении, представляют в комитет заявку отдельно для каждого объекта культуры с приложением следующих документов: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копия сметной документации с приложением копии положительного заключения государственной экспертизы;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bookmarkStart w:id="3" w:name="_GoBack"/>
      <w:bookmarkEnd w:id="3"/>
      <w: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</w:t>
      </w:r>
      <w:r>
        <w:lastRenderedPageBreak/>
        <w:t>бюджетных ассигнований на исполнение обязательств, софинансируемых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акт обследования по форме, утверждаемой правовым актом комитета;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экспликация помещений здания учреждения культуры, где планируется выполнение работ по капитальному ремонту, на бумажном носителе (при наличии работ по капитальному ремонту внутренних помещений);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спецификация оборудования по объекту культуры, согласованная с комитетом по культуре и туризму Ленинградской области (при наличии).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Форма заявки утверждается правовым актом комитета.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Копии документов, прилагаемых к заявке, заверяются в установленном порядке.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Исправления в документах, прилагаемых к заявке, не допускаются. Ответственность за достоверность представленных документов несут администрации муниципальных образований.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bookmarkStart w:id="4" w:name="P6759"/>
      <w:bookmarkEnd w:id="4"/>
      <w:r>
        <w:t xml:space="preserve">3.7. В течение пяти рабочих дней с даты регистрации в комитете заявки и прилагаемых к ней документов комитет осуществляет рассмотрение заявки на предмет соответствия перечню документов и требованиям к их оформлению, установленным </w:t>
      </w:r>
      <w:hyperlink w:anchor="P6749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3.8. Заявка муниципального образования считается принятой к рассмотрению в случае ее соответствия требованиям, установленным </w:t>
      </w:r>
      <w:hyperlink w:anchor="P6749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3.9. Комитет в срок, установленный </w:t>
      </w:r>
      <w:hyperlink w:anchor="P6759">
        <w:r>
          <w:rPr>
            <w:color w:val="0000FF"/>
          </w:rPr>
          <w:t>пунктом 3.7</w:t>
        </w:r>
      </w:hyperlink>
      <w: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В случае несоответствия заявки муниципального образования требованиям, установленным </w:t>
      </w:r>
      <w:hyperlink w:anchor="P6749">
        <w:r>
          <w:rPr>
            <w:color w:val="0000FF"/>
          </w:rPr>
          <w:t>пунктом 3.6</w:t>
        </w:r>
      </w:hyperlink>
      <w:r>
        <w:t xml:space="preserve"> настоящего Порядка, в адрес муниципального образования направляется мотивированный отказ (уведомление) в принятии заявки к рассмотрению.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3.11.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Заявка считается отозванной с даты получения комитетом соответствующего письменного уведомления.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141211" w:rsidRDefault="00141211" w:rsidP="001412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288"/>
        <w:gridCol w:w="1304"/>
        <w:gridCol w:w="1531"/>
      </w:tblGrid>
      <w:tr w:rsidR="00141211" w:rsidTr="00E23A7A">
        <w:trPr>
          <w:tblHeader/>
        </w:trPr>
        <w:tc>
          <w:tcPr>
            <w:tcW w:w="2948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1531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</w:tr>
      <w:tr w:rsidR="00141211" w:rsidTr="00E23A7A">
        <w:trPr>
          <w:tblHeader/>
        </w:trPr>
        <w:tc>
          <w:tcPr>
            <w:tcW w:w="2948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4</w:t>
            </w:r>
          </w:p>
        </w:tc>
      </w:tr>
      <w:tr w:rsidR="00141211" w:rsidTr="005C44C5">
        <w:tc>
          <w:tcPr>
            <w:tcW w:w="2948" w:type="dxa"/>
            <w:vMerge w:val="restart"/>
          </w:tcPr>
          <w:p w:rsidR="00141211" w:rsidRDefault="00141211" w:rsidP="005C44C5">
            <w:pPr>
              <w:pStyle w:val="ConsPlusNormal"/>
            </w:pPr>
            <w:r>
              <w:t xml:space="preserve">Критерий 1. Численность населения в населенном пункте, на территории которого планируется </w:t>
            </w:r>
            <w:r>
              <w:lastRenderedPageBreak/>
              <w:t>капитальный ремонт объекта культуры</w:t>
            </w: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lastRenderedPageBreak/>
              <w:t>Численность населения менее 500 человек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531" w:type="dxa"/>
            <w:vMerge w:val="restart"/>
          </w:tcPr>
          <w:p w:rsidR="00141211" w:rsidRDefault="00141211" w:rsidP="005C44C5">
            <w:pPr>
              <w:pStyle w:val="ConsPlusNormal"/>
              <w:jc w:val="center"/>
            </w:pPr>
            <w:r>
              <w:t>20</w:t>
            </w: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Численность населения от 500 человек, но менее 1000 человек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Численность населения от 1000 человек, но менее 2000 человек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Численность населения от 2000 человек и более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7 баллов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  <w:tr w:rsidR="00141211" w:rsidTr="005C44C5">
        <w:tc>
          <w:tcPr>
            <w:tcW w:w="2948" w:type="dxa"/>
            <w:vMerge w:val="restart"/>
          </w:tcPr>
          <w:p w:rsidR="00141211" w:rsidRDefault="00141211" w:rsidP="005C44C5">
            <w:pPr>
              <w:pStyle w:val="ConsPlusNormal"/>
            </w:pPr>
            <w:r>
              <w:t>Критерий 2. 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      </w: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Численность населения, которому оказывают услуги в сфере культуры, менее 500 человек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531" w:type="dxa"/>
            <w:vMerge w:val="restart"/>
          </w:tcPr>
          <w:p w:rsidR="00141211" w:rsidRDefault="00141211" w:rsidP="005C44C5">
            <w:pPr>
              <w:pStyle w:val="ConsPlusNormal"/>
              <w:jc w:val="center"/>
            </w:pPr>
            <w:r>
              <w:t>30</w:t>
            </w: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Численность населения, которому оказывают услуги в сфере культуры, от 500 человек, но менее 1000 человек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Численность населения, которому оказывают услуги в сфере культуры, от 1000 человек, но менее 2000 человек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Численность населения, которому оказывают услуги в сфере культуры, от 2000 человек и более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7 баллов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  <w:tr w:rsidR="00141211" w:rsidTr="005C44C5">
        <w:tc>
          <w:tcPr>
            <w:tcW w:w="2948" w:type="dxa"/>
            <w:vMerge w:val="restart"/>
          </w:tcPr>
          <w:p w:rsidR="00141211" w:rsidRDefault="00141211" w:rsidP="005C44C5">
            <w:pPr>
              <w:pStyle w:val="ConsPlusNormal"/>
            </w:pPr>
            <w:r>
              <w:t>Критерий 3. Оценка приоритетности заявляемых работ для обеспечения функционирования учреждения культуры</w:t>
            </w: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В составе заявки предусмотрено выполнение работ по благоустройству прилегающей территории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531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50</w:t>
            </w: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В составе заявки предусмотрено выполнение работ по капитальному ремонту фасада здания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1531" w:type="dxa"/>
            <w:vMerge w:val="restart"/>
          </w:tcPr>
          <w:p w:rsidR="00141211" w:rsidRDefault="00141211" w:rsidP="005C44C5">
            <w:pPr>
              <w:pStyle w:val="ConsPlusNormal"/>
              <w:jc w:val="center"/>
            </w:pP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В составе заявки предусмотрено выполнение работ по капитальному ремонту внутренних помещений (в том числе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7 баллов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  <w:tr w:rsidR="00141211" w:rsidTr="005C44C5">
        <w:tc>
          <w:tcPr>
            <w:tcW w:w="2948" w:type="dxa"/>
            <w:vMerge/>
          </w:tcPr>
          <w:p w:rsidR="00141211" w:rsidRDefault="00141211" w:rsidP="005C44C5">
            <w:pPr>
              <w:pStyle w:val="ConsPlusNormal"/>
            </w:pPr>
          </w:p>
        </w:tc>
        <w:tc>
          <w:tcPr>
            <w:tcW w:w="3288" w:type="dxa"/>
          </w:tcPr>
          <w:p w:rsidR="00141211" w:rsidRDefault="00141211" w:rsidP="005C44C5">
            <w:pPr>
              <w:pStyle w:val="ConsPlusNormal"/>
            </w:pPr>
            <w:r>
              <w:t>В составе заявки предусмотрено выполнение работ по капитальному ремонту кровли здания, фундамента, цоколя</w:t>
            </w:r>
          </w:p>
        </w:tc>
        <w:tc>
          <w:tcPr>
            <w:tcW w:w="1304" w:type="dxa"/>
          </w:tcPr>
          <w:p w:rsidR="00141211" w:rsidRDefault="00141211" w:rsidP="005C44C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531" w:type="dxa"/>
            <w:vMerge/>
          </w:tcPr>
          <w:p w:rsidR="00141211" w:rsidRDefault="00141211" w:rsidP="005C44C5">
            <w:pPr>
              <w:pStyle w:val="ConsPlusNormal"/>
            </w:pPr>
          </w:p>
        </w:tc>
      </w:tr>
    </w:tbl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Значение критерия определяется в соответствии с заявкой муниципального образования.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В случае если в составе заявки планируется выполнение нескольких видов работ, оценка по критерию 3 производится исходя из сметной стоимости работ, которая занимает большую долю в общей сметной стоимости работ согласно заявке.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lastRenderedPageBreak/>
        <w:t>3.13. Расчет сводной оценки заявки муниципального образования определяется по формуле: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 wp14:anchorId="2EFEF614" wp14:editId="06331803">
            <wp:extent cx="1152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где: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СО - сводная оценка заявки муниципального образования;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proofErr w:type="spellStart"/>
      <w:r>
        <w:t>Кi</w:t>
      </w:r>
      <w:proofErr w:type="spellEnd"/>
      <w:r>
        <w:t xml:space="preserve"> - балльная оценка заявки муниципального образования по i-</w:t>
      </w:r>
      <w:proofErr w:type="spellStart"/>
      <w:r>
        <w:t>му</w:t>
      </w:r>
      <w:proofErr w:type="spellEnd"/>
      <w:r>
        <w:t xml:space="preserve"> критерию;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proofErr w:type="spellStart"/>
      <w:r>
        <w:t>ВКi</w:t>
      </w:r>
      <w:proofErr w:type="spellEnd"/>
      <w:r>
        <w:t xml:space="preserve"> - весовой коэффициент для i-го критерия.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3.14. Комиссия принимает решение о результатах оценки заявок муниципальных образований.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Перечень заявок муниципальных образований по итогам оценки заявок муниципальных образований формируется в порядке убывания количества баллов сводной оценки заявки муниципального образования.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При проведении отбора в целях предоставления субсидии в текущем финансовом году 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образований, за вычетом распределенного объема субсидии (в том числе предусмотренного на софинансирование переходящих проектов).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При проведении отбора на очередной финансовый год и плановый период победителями отбора признаются все муниципальные образования, включенные в перечень заявок по итогам оценки заявок.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Получателями субсидии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Количество получателей субсидии определяется исходя из объема субсидии, предусмотренного в областном бюджете Ленинградской области на очередной финансовый год и плановый период на софинансирование соответствующих расходных обязательств муниципальных образований, за вычетом объема субсидии, предусмотренного на софинансирование переходящих проектов.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bookmarkStart w:id="5" w:name="P6827"/>
      <w:bookmarkEnd w:id="5"/>
      <w:r>
        <w:t>3.15.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bookmarkStart w:id="6" w:name="P6828"/>
      <w:bookmarkEnd w:id="6"/>
      <w:r>
        <w:t xml:space="preserve">3.16. Комитет на основании протокола, указанного в </w:t>
      </w:r>
      <w:hyperlink w:anchor="P6827">
        <w:r>
          <w:rPr>
            <w:color w:val="0000FF"/>
          </w:rPr>
          <w:t>пункте 3.15</w:t>
        </w:r>
      </w:hyperlink>
      <w:r>
        <w:t xml:space="preserve"> настоящего Порядка, принимает решение о победителях отбора (получателях субсидии) в течение двух рабочих дней с даты оформления протокола посредством принятия соответствующего правового акта комитета.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интернет-портале в течение пяти рабочих дней с даты принятия правового акта, указанного в </w:t>
      </w:r>
      <w:hyperlink w:anchor="P6828">
        <w:r>
          <w:rPr>
            <w:color w:val="0000FF"/>
          </w:rPr>
          <w:t>пункте 3.16</w:t>
        </w:r>
      </w:hyperlink>
      <w:r>
        <w:t xml:space="preserve"> настоящего Порядка.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3.18. Муниципальное образование, признанное победителем отбора муниципальных образований для предоставления субсидии,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</w:t>
      </w:r>
      <w:proofErr w:type="spellStart"/>
      <w:r>
        <w:t>неухудшении</w:t>
      </w:r>
      <w:proofErr w:type="spellEnd"/>
      <w:r>
        <w:t xml:space="preserve"> значений критериев оценки заявки муниципального образования.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В случае если внесение изменений в сметную документацию влечет за собой увеличение стоимости работ по капитальному ремонту объекта, затраты на капитальный ремонт объекта культуры сверх первоначальной его стоимости осуществляются за счет средств местного бюджета.</w:t>
      </w:r>
    </w:p>
    <w:p w:rsidR="00141211" w:rsidRDefault="00141211" w:rsidP="00141211">
      <w:pPr>
        <w:pStyle w:val="ConsPlusNormal"/>
        <w:ind w:firstLine="540"/>
        <w:jc w:val="both"/>
      </w:pPr>
    </w:p>
    <w:p w:rsidR="00E23A7A" w:rsidRDefault="00E23A7A" w:rsidP="00141211">
      <w:pPr>
        <w:pStyle w:val="ConsPlusTitle"/>
        <w:jc w:val="center"/>
        <w:outlineLvl w:val="2"/>
      </w:pPr>
    </w:p>
    <w:p w:rsidR="00141211" w:rsidRDefault="00141211" w:rsidP="00141211">
      <w:pPr>
        <w:pStyle w:val="ConsPlusTitle"/>
        <w:jc w:val="center"/>
        <w:outlineLvl w:val="2"/>
      </w:pPr>
      <w:r>
        <w:lastRenderedPageBreak/>
        <w:t>4. Методика распределения субсидии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4.1. Распределение субсидии осуществляется исходя из заявок муниципальных образований по формуле: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где: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proofErr w:type="spellStart"/>
      <w:r>
        <w:t>Сi</w:t>
      </w:r>
      <w:proofErr w:type="spellEnd"/>
      <w:r>
        <w:t xml:space="preserve"> - объем субсидии бюджету i-го муниципального образования;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proofErr w:type="spellStart"/>
      <w:r>
        <w:t>ЗСi</w:t>
      </w:r>
      <w:proofErr w:type="spellEnd"/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proofErr w:type="spellStart"/>
      <w:r>
        <w:t>УСi</w:t>
      </w:r>
      <w:proofErr w:type="spellEnd"/>
      <w:r>
        <w:t xml:space="preserve"> - предельный уровень софинансирования для i-го муниципального образования.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 xml:space="preserve">Предельный уровень софинансирования для i-го муниципального образования определяется в соответствии с </w:t>
      </w:r>
      <w:hyperlink r:id="rId15">
        <w:r>
          <w:rPr>
            <w:color w:val="0000FF"/>
          </w:rPr>
          <w:t>разделом 6</w:t>
        </w:r>
      </w:hyperlink>
      <w:r>
        <w:t xml:space="preserve"> Правил.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4.2. Распределение субсидии утверждается областным законом об областном бюджете Ленинградской области.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bookmarkStart w:id="7" w:name="P6846"/>
      <w:bookmarkEnd w:id="7"/>
      <w:r>
        <w:t>4.3. Утвержденный для муниципального образования объем субсидии может быть пересмотрен: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а) при отказе муниципального образования от заключения соглашения;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б) при наличии экономии бюджетных средств в результате проведения конкурсных процедур;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в) при распределении нераспределенного объема субсидии в текущем финансовом году;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г)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товаров, выполнение работ, оказание услуг.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bookmarkStart w:id="8" w:name="P6851"/>
      <w:bookmarkEnd w:id="8"/>
      <w:r>
        <w:t>4.4. Дополнительный отбор муниципальных образований для предоставления субсидии проводится в следующих случаях: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при наличии экономии бюджетных средств по ранее распределенным субсидиям в результате проведения конкурсных процедур и(или) отказа муниципального образования от предоставления субсидии (части субсидии).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Дополнительный отбор муниципальных образований для предоставления субсидии проводится в соответствии с </w:t>
      </w:r>
      <w:hyperlink w:anchor="P6727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Title"/>
        <w:jc w:val="center"/>
        <w:outlineLvl w:val="2"/>
      </w:pPr>
      <w:r>
        <w:t>5. Порядок перечисления и расходования субсидии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6">
        <w:r>
          <w:rPr>
            <w:color w:val="0000FF"/>
          </w:rPr>
          <w:t>пунктом 4.2</w:t>
        </w:r>
      </w:hyperlink>
      <w:r>
        <w:t xml:space="preserve"> Правил, и в сроки, установленные </w:t>
      </w:r>
      <w:hyperlink r:id="rId17">
        <w:r>
          <w:rPr>
            <w:color w:val="0000FF"/>
          </w:rPr>
          <w:t>пунктом 4.3</w:t>
        </w:r>
      </w:hyperlink>
      <w:r>
        <w:t xml:space="preserve"> Правил.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При наличии оснований, указанных в </w:t>
      </w:r>
      <w:hyperlink w:anchor="P6846">
        <w:r>
          <w:rPr>
            <w:color w:val="0000FF"/>
          </w:rPr>
          <w:t>пунктах 4.3</w:t>
        </w:r>
      </w:hyperlink>
      <w:r>
        <w:t xml:space="preserve"> и </w:t>
      </w:r>
      <w:hyperlink w:anchor="P6851">
        <w:r>
          <w:rPr>
            <w:color w:val="0000FF"/>
          </w:rPr>
          <w:t>4.4</w:t>
        </w:r>
      </w:hyperlink>
      <w:r>
        <w:t xml:space="preserve"> настоящего Порядка, соглашение (дополнительное соглашение) заключается не позднее 30 рабочих дней с даты внесения изменений в утвержденное распределение субсидии.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8">
        <w:r>
          <w:rPr>
            <w:color w:val="0000FF"/>
          </w:rPr>
          <w:t>пунктом 4.4</w:t>
        </w:r>
      </w:hyperlink>
      <w:r>
        <w:t xml:space="preserve"> Правил.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lastRenderedPageBreak/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с даты поступления оформленного надлежащим образом платежного документа.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Title"/>
        <w:jc w:val="center"/>
        <w:outlineLvl w:val="2"/>
      </w:pPr>
      <w:r>
        <w:t>6. Меры финансовой ответственности, применяемые</w:t>
      </w:r>
    </w:p>
    <w:p w:rsidR="00141211" w:rsidRDefault="00141211" w:rsidP="00141211">
      <w:pPr>
        <w:pStyle w:val="ConsPlusTitle"/>
        <w:jc w:val="center"/>
      </w:pPr>
      <w:r>
        <w:t>к муниципальному образованию при невыполнении</w:t>
      </w:r>
    </w:p>
    <w:p w:rsidR="00141211" w:rsidRDefault="00141211" w:rsidP="00141211">
      <w:pPr>
        <w:pStyle w:val="ConsPlusTitle"/>
        <w:jc w:val="center"/>
      </w:pPr>
      <w:r>
        <w:t>им условий соглашения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  <w: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41211" w:rsidRDefault="00141211" w:rsidP="00141211">
      <w:pPr>
        <w:pStyle w:val="ConsPlusNormal"/>
        <w:spacing w:before="200"/>
        <w:ind w:firstLine="540"/>
        <w:jc w:val="both"/>
      </w:pPr>
      <w:r>
        <w:t xml:space="preserve"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9">
        <w:r>
          <w:rPr>
            <w:color w:val="0000FF"/>
          </w:rPr>
          <w:t>разделом 5</w:t>
        </w:r>
      </w:hyperlink>
      <w:r>
        <w:t xml:space="preserve"> Правил.</w:t>
      </w: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</w:p>
    <w:p w:rsidR="00141211" w:rsidRDefault="00141211" w:rsidP="00141211">
      <w:pPr>
        <w:pStyle w:val="ConsPlusNormal"/>
        <w:ind w:firstLine="540"/>
        <w:jc w:val="both"/>
      </w:pPr>
    </w:p>
    <w:p w:rsidR="00A868C1" w:rsidRDefault="00A868C1"/>
    <w:sectPr w:rsidR="00A868C1" w:rsidSect="00F47611">
      <w:headerReference w:type="default" r:id="rId2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11" w:rsidRDefault="00F47611" w:rsidP="00F47611">
      <w:pPr>
        <w:spacing w:after="0" w:line="240" w:lineRule="auto"/>
      </w:pPr>
      <w:r>
        <w:separator/>
      </w:r>
    </w:p>
  </w:endnote>
  <w:endnote w:type="continuationSeparator" w:id="0">
    <w:p w:rsidR="00F47611" w:rsidRDefault="00F47611" w:rsidP="00F4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11" w:rsidRDefault="00F47611" w:rsidP="00F47611">
      <w:pPr>
        <w:spacing w:after="0" w:line="240" w:lineRule="auto"/>
      </w:pPr>
      <w:r>
        <w:separator/>
      </w:r>
    </w:p>
  </w:footnote>
  <w:footnote w:type="continuationSeparator" w:id="0">
    <w:p w:rsidR="00F47611" w:rsidRDefault="00F47611" w:rsidP="00F4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272669"/>
      <w:docPartObj>
        <w:docPartGallery w:val="Page Numbers (Top of Page)"/>
        <w:docPartUnique/>
      </w:docPartObj>
    </w:sdtPr>
    <w:sdtEndPr/>
    <w:sdtContent>
      <w:p w:rsidR="00F47611" w:rsidRDefault="00F476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7A">
          <w:rPr>
            <w:noProof/>
          </w:rPr>
          <w:t>2</w:t>
        </w:r>
        <w:r>
          <w:fldChar w:fldCharType="end"/>
        </w:r>
      </w:p>
    </w:sdtContent>
  </w:sdt>
  <w:p w:rsidR="00F47611" w:rsidRDefault="00F476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8"/>
    <w:rsid w:val="000E202F"/>
    <w:rsid w:val="00141211"/>
    <w:rsid w:val="006461E8"/>
    <w:rsid w:val="00A868C1"/>
    <w:rsid w:val="00E23A7A"/>
    <w:rsid w:val="00F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2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12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611"/>
  </w:style>
  <w:style w:type="paragraph" w:styleId="a7">
    <w:name w:val="footer"/>
    <w:basedOn w:val="a"/>
    <w:link w:val="a8"/>
    <w:uiPriority w:val="99"/>
    <w:unhideWhenUsed/>
    <w:rsid w:val="00F4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2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12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611"/>
  </w:style>
  <w:style w:type="paragraph" w:styleId="a7">
    <w:name w:val="footer"/>
    <w:basedOn w:val="a"/>
    <w:link w:val="a8"/>
    <w:uiPriority w:val="99"/>
    <w:unhideWhenUsed/>
    <w:rsid w:val="00F4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9810EDCD6EF5F9A78680624582A7A83322757464F27A2287B44EC45A2EA72093B3C5B0BA0D81018ACA127161F9D701EA1B7171EDBBDBDh0B2I" TargetMode="External"/><Relationship Id="rId13" Type="http://schemas.openxmlformats.org/officeDocument/2006/relationships/hyperlink" Target="consultantplus://offline/ref=6019810EDCD6EF5F9A78771731582A7A85372359444F27A2287B44EC45A2EA72093B3C5B0BA0DD1616ACA127161F9D701EA1B7171EDBBDBDh0B2I" TargetMode="External"/><Relationship Id="rId18" Type="http://schemas.openxmlformats.org/officeDocument/2006/relationships/hyperlink" Target="consultantplus://offline/ref=6019810EDCD6EF5F9A78771731582A7A85372359444F27A2287B44EC45A2EA72093B3C5B0BA0DC1117ACA127161F9D701EA1B7171EDBBDBDh0B2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019810EDCD6EF5F9A78680624582A7A83322757464F27A2287B44EC45A2EA72093B3C5B0BA1D91B19ACA127161F9D701EA1B7171EDBBDBDh0B2I" TargetMode="External"/><Relationship Id="rId12" Type="http://schemas.openxmlformats.org/officeDocument/2006/relationships/hyperlink" Target="consultantplus://offline/ref=6019810EDCD6EF5F9A78680624582A7A83322757464F27A2287B44EC45A2EA72093B3C5C0DA9D2464EE3A07B504B8E7218A1B51002hDBBI" TargetMode="External"/><Relationship Id="rId17" Type="http://schemas.openxmlformats.org/officeDocument/2006/relationships/hyperlink" Target="consultantplus://offline/ref=6019810EDCD6EF5F9A78771731582A7A85372359444F27A2287B44EC45A2EA72093B3C5B0BA0DF161EACA127161F9D701EA1B7171EDBBDBDh0B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19810EDCD6EF5F9A78771731582A7A85372359444F27A2287B44EC45A2EA72093B3C5B0BA0DC101CACA127161F9D701EA1B7171EDBBDBDh0B2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19810EDCD6EF5F9A78680624582A7A83322757464F27A2287B44EC45A2EA72093B3C5B0BA1D9111EACA127161F9D701EA1B7171EDBBDBDh0B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19810EDCD6EF5F9A78771731582A7A85372359444F27A2287B44EC45A2EA72093B3C5B0BA0DC1A18ACA127161F9D701EA1B7171EDBBDBDh0B2I" TargetMode="External"/><Relationship Id="rId10" Type="http://schemas.openxmlformats.org/officeDocument/2006/relationships/hyperlink" Target="consultantplus://offline/ref=6019810EDCD6EF5F9A78680624582A7A83322757464F27A2287B44EC45A2EA72093B3C5B0BA1D81216ACA127161F9D701EA1B7171EDBBDBDh0B2I" TargetMode="External"/><Relationship Id="rId19" Type="http://schemas.openxmlformats.org/officeDocument/2006/relationships/hyperlink" Target="consultantplus://offline/ref=6019810EDCD6EF5F9A78771731582A7A85372359444F27A2287B44EC45A2EA72093B3C5B0BA0DC1618ACA127161F9D701EA1B7171EDBBDBDh0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9810EDCD6EF5F9A78680624582A7A83322757464F27A2287B44EC45A2EA72093B3C5B0BA1D9101EACA127161F9D701EA1B7171EDBBDBDh0B2I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Эллада Спиридоновна Келасова</dc:creator>
  <cp:lastModifiedBy>Ямалтдинова Алина Шамилевна</cp:lastModifiedBy>
  <cp:revision>5</cp:revision>
  <cp:lastPrinted>2022-10-04T12:42:00Z</cp:lastPrinted>
  <dcterms:created xsi:type="dcterms:W3CDTF">2022-07-21T08:04:00Z</dcterms:created>
  <dcterms:modified xsi:type="dcterms:W3CDTF">2022-10-04T12:42:00Z</dcterms:modified>
</cp:coreProperties>
</file>