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областному закону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14.10.2019 N 75-оз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МЕТОДИКА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ДОТАЦИЙ НА ВЫРАВНИВАНИЕ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БЮДЖЕТНОЙ</w:t>
      </w:r>
      <w:proofErr w:type="gramEnd"/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ОБЕСПЕЧЕННОСТИ МУНИЦИПАЛЬНЫХ РАЙОНОВ (ГОРОДСКИХ ОКРУГОВ),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КРИТЕРИЯ ВЫРАВНИВАНИЯ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proofErr w:type="gramEnd"/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hAnsi="Times New Roman" w:cs="Times New Roman"/>
          <w:color w:val="392C69"/>
          <w:sz w:val="28"/>
          <w:szCs w:val="28"/>
        </w:rPr>
        <w:t xml:space="preserve">(в ред. </w:t>
      </w:r>
      <w:bookmarkStart w:id="0" w:name="_GoBack"/>
      <w:r w:rsidRPr="00E90DD4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5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bookmarkEnd w:id="0"/>
      <w:r>
        <w:rPr>
          <w:rFonts w:ascii="Times New Roman" w:hAnsi="Times New Roman" w:cs="Times New Roman"/>
          <w:color w:val="392C69"/>
          <w:sz w:val="28"/>
          <w:szCs w:val="28"/>
        </w:rPr>
        <w:t xml:space="preserve"> Ленинградской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Дотации на выравнивание бюджетной обеспеченности муниципальных районов (городских округов) распределяются между муниципальными районами (городскими округами), уровень бюджетной обеспеченности которых не превышает уровень, установленный в качестве критерия выравнивания расчетной бюджетной обеспеченности муниципальных районов (городских округов).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Общий объем дотаций на выравнивание бюджетной обеспеченности муниципальных районов (городских округов) (Д)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23160" cy="5029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зам)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расчетный объем дотации (часть расчетного объема дотации)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заменяемой дополнительным нормативом отчислений от налога на доходы физических лиц.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дотации на выравнивание бюджетной обеспеченности, предоставляемой бюджету муниципального района (городского округа),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7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(w x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) - Д(зам)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8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объем дотации на выравнивание бюджетной обеспеченности, предоставляемой бюджету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9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- доля расчетного объема дотаций на выравнивание бюджетной обеспеченности муниципальных районов (городских округов), подлежащая распределению между муниципальными образованиями в очередном финансовом году и первом году планового периода (при этом w = 1 для очередного финансового года и w = 0,8 для первого года и второго года планового периода);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0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зам)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расчетный объем дотации (часть расчетного объема дотации)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заменяемой дополнительным нормативом отчислений от налога на доходы физических лиц.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Дополнительный норматив отчислений от налога на доходы физических лиц в бюджет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>
            <wp:extent cx="2080260" cy="662940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>
            <wp:extent cx="586740" cy="35052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дополнительный норматив отчислений от налога на доходы физических лиц в бюджет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зам)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расчетный объем дотации (часть расчетного объема дотации)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заменяемой дополнительным нормативом отчислений от налога на доходы физических лиц;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>
            <wp:extent cx="746760" cy="3505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прогноз поступлений по налогу на доходы физических лиц в консолидированный бюджет Ленинградской области с территории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очередном финансовом году и плановом периоде.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Нераспределенный объем дотаций на выравнивание бюджетной обеспеченности муниципальных районов (городских округов) (ДН)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4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331720" cy="495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6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E90DD4">
        <w:rPr>
          <w:rFonts w:ascii="Times New Roman" w:hAnsi="Times New Roman" w:cs="Times New Roman"/>
          <w:sz w:val="28"/>
          <w:szCs w:val="28"/>
        </w:rPr>
        <w:t xml:space="preserve">Областного </w:t>
      </w:r>
      <w:hyperlink r:id="rId17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- доля расчетного объема дотаций на выравнивание бюджетной обеспеченности муниципальных районов (городских округов), подлежащая распределению между муниципальными образованиями в очередном финансовом году и первом году планового периода (при этом w = 1 для очередного финансового года и w = 0,8 для первого года и второго года планового периода).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8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Ле</w:t>
      </w:r>
      <w:r>
        <w:rPr>
          <w:rFonts w:ascii="Times New Roman" w:hAnsi="Times New Roman" w:cs="Times New Roman"/>
          <w:sz w:val="28"/>
          <w:szCs w:val="28"/>
        </w:rPr>
        <w:t>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отсутствии случаев, указанных в </w:t>
      </w:r>
      <w:hyperlink r:id="rId19" w:history="1">
        <w:r w:rsidRPr="00E90DD4">
          <w:rPr>
            <w:rFonts w:ascii="Times New Roman" w:hAnsi="Times New Roman" w:cs="Times New Roman"/>
            <w:sz w:val="28"/>
            <w:szCs w:val="28"/>
          </w:rPr>
          <w:t>пункте 7 статьи 138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расчетный объем средств, необходимых для доведения расчетной бюджетной обеспеченности муниципального района (городского округа) до уровня, принятого в качестве критерия выравнивания расчетной бюджетной обеспеченности муниципальных районов (городских округов), если КВБО &gt;=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>
            <wp:extent cx="3924300" cy="5562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расчетный объем средств, необходимых для доведения расчетной бюджетной обеспеченности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до уровня, принятого в качестве критерия выравнивания расчетной бюджетной обеспеченности муниципальных районов (городских округов);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 - прогнозируемый объем налоговых доходов бюджетов муниципальных районов (городских округов) в очередном финансовом году;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КВБО - критерий выравнивания расчетной бюджетной обеспеченности муниципальных районов (городских округов);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расчетная бюджетная обеспеченность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отсутствии случаев, указанных в </w:t>
      </w:r>
      <w:hyperlink r:id="rId21" w:history="1">
        <w:r w:rsidRPr="00E90DD4">
          <w:rPr>
            <w:rFonts w:ascii="Times New Roman" w:hAnsi="Times New Roman" w:cs="Times New Roman"/>
            <w:sz w:val="28"/>
            <w:szCs w:val="28"/>
          </w:rPr>
          <w:t>пункте 7 статьи 138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Федерации, расчетный объем дотации на выравнивание бюджетной обеспеченности для муниципального района (городского округа),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,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Д(мин)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расчетный объем дотации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P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минимальный объем дотации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определенный с учетом требований </w:t>
      </w:r>
      <w:hyperlink r:id="rId22" w:history="1">
        <w:r w:rsidRPr="00E90DD4">
          <w:rPr>
            <w:rFonts w:ascii="Times New Roman" w:hAnsi="Times New Roman" w:cs="Times New Roman"/>
            <w:sz w:val="28"/>
            <w:szCs w:val="28"/>
          </w:rPr>
          <w:t>пункта 7 статьи 138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расчетный объем средств, необходимых для доведения расчетной бюджетной обеспеченности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до уровня, принятого в качестве критерия выравнивания расчетной бюджетной обеспеченности муниципальных районов (городских округов).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отсутствии случаев, указанных в </w:t>
      </w:r>
      <w:hyperlink r:id="rId23" w:history="1">
        <w:r w:rsidRPr="00E90DD4">
          <w:rPr>
            <w:rFonts w:ascii="Times New Roman" w:hAnsi="Times New Roman" w:cs="Times New Roman"/>
            <w:sz w:val="28"/>
            <w:szCs w:val="28"/>
          </w:rPr>
          <w:t>пункте 7 статьи 138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минимальный объем дотации на выравнивание бюджетной обеспеченности муниципального района (городского округа) на очередной финансовый год и первый год планового периода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Д1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+ Д2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минимальный объем дотации на выравнивание бюджетной обеспеченности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очередной финансовый год и первый год планового периода, определенный с учетом </w:t>
      </w:r>
      <w:r w:rsidRPr="00E90DD4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24" w:history="1">
        <w:r w:rsidRPr="00E90DD4">
          <w:rPr>
            <w:rFonts w:ascii="Times New Roman" w:hAnsi="Times New Roman" w:cs="Times New Roman"/>
            <w:sz w:val="28"/>
            <w:szCs w:val="28"/>
          </w:rPr>
          <w:t>пункта 7 статьи 138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Д1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объем дотации на выравнивание бюджетной обеспеченности, предоставляемой бюджету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Д2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расчетный объем дотации (часть расчетного объема дотации) на выравнивание бюджетной обеспеченности, замененной дополнительным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нормативом отчислений от налога на доходы физических лиц,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округа).</w:t>
      </w:r>
      <w:proofErr w:type="gramEnd"/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мин)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в ред. Областного </w:t>
      </w:r>
      <w:hyperlink r:id="rId25" w:history="1">
        <w:r w:rsidRPr="00E90DD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от 09.03.2021 N 12-оз)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Уровень критерия выравнивания расчетной бюджетной обеспеченности муниципальных районов (городских округов) утверждается областным законом об областном бюджете в размере не ниже 1,4.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Расчетная бюджетная обеспеченность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>
            <wp:extent cx="1257300" cy="6629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расчетная бюджетная обеспеченность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индекс налогового потенциала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Индекс налогового потенциала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0"/>
          <w:sz w:val="28"/>
          <w:szCs w:val="28"/>
          <w:lang w:eastAsia="ru-RU"/>
        </w:rPr>
        <w:drawing>
          <wp:inline distT="0" distB="0" distL="0" distR="0">
            <wp:extent cx="2484120" cy="6934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индекс налогового потенциала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налоговый потенциал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определяемый в соответствии с методикой согласно </w:t>
      </w:r>
      <w:hyperlink r:id="rId28" w:history="1">
        <w:r w:rsidRPr="00E90DD4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E90DD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областному закону;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 -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Индекс бюджетных расходов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>
            <wp:extent cx="2110740" cy="4800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по k-й группе расходов репрезентативной системы расходов бюджетов муниципальных районов (городских округов);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условная доля k-й группы расходов репрезентативной системы расходов бюджетов муниципальных районов (городских округов), устанавливаемой правовым актом финансового органа Ленинградской области.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Индекс бюджетных расходов муниципального района (городского округа) по отдельной группе расходов репрезентативной системы расходов бюджетов муниципальных районов (городских округов)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>
            <wp:extent cx="2697480" cy="662940"/>
            <wp:effectExtent l="0" t="0" r="762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индекс бюджетных расходов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по k-й группе расходов репрезентативной системы расходов бюджетов муниципальных районов (городских округов);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jk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численность потребителей по k-й группе расходов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jl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значение l-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 -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определения индексов бюджетных расходов муниципальных районов (городских округов) используются показатели, характеризующие численность потребителей, и корректирующие коэффициенты, приведенные в следующей таблице:</w:t>
      </w:r>
      <w:proofErr w:type="gramEnd"/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3"/>
        <w:gridCol w:w="1531"/>
        <w:gridCol w:w="1587"/>
      </w:tblGrid>
      <w:tr w:rsidR="00E90D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число потребителей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Корректирующий коэффициент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0D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D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 образования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создание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от 1 до 6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удорожания</w:t>
            </w:r>
          </w:p>
        </w:tc>
      </w:tr>
      <w:tr w:rsidR="00E90D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основного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стандартами)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детей в возрасте от 5 до 18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удорожания</w:t>
            </w:r>
          </w:p>
        </w:tc>
      </w:tr>
      <w:tr w:rsidR="00E90D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населения услугами связи, общественного питания, торговли и бытового обслуживания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муниципального образования, а также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лесного контроля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контроля, организация выполнения комплексных кадастровых работ и утверждение карты-плана территории</w:t>
            </w:r>
          </w:p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охране окружающей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удорожания, коэффициент плотности</w:t>
            </w:r>
          </w:p>
        </w:tc>
      </w:tr>
      <w:tr w:rsidR="00E90D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P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D4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</w:p>
          <w:p w:rsidR="00E90DD4" w:rsidRP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D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      </w:r>
            <w:proofErr w:type="gramStart"/>
            <w:r w:rsidRPr="00E90DD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90DD4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муниципального образования</w:t>
            </w:r>
          </w:p>
          <w:p w:rsidR="00E90DD4" w:rsidRP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D4">
              <w:rPr>
                <w:rFonts w:ascii="Times New Roman" w:hAnsi="Times New Roman" w:cs="Times New Roman"/>
                <w:sz w:val="28"/>
                <w:szCs w:val="28"/>
              </w:rPr>
              <w:t>Установление, изменение и отмена местных налогов и сборов</w:t>
            </w:r>
          </w:p>
          <w:p w:rsidR="00E90DD4" w:rsidRP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D4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</w:t>
            </w:r>
          </w:p>
          <w:p w:rsidR="00E90DD4" w:rsidRP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D4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противодействию коррупции</w:t>
            </w:r>
          </w:p>
          <w:p w:rsidR="00E90DD4" w:rsidRP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DD4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органов местного самоуправления по решению вопросов местного значения, предусмотренные </w:t>
            </w:r>
            <w:hyperlink r:id="rId31" w:history="1">
              <w:r w:rsidRPr="00E90DD4">
                <w:rPr>
                  <w:rFonts w:ascii="Times New Roman" w:hAnsi="Times New Roman" w:cs="Times New Roman"/>
                  <w:sz w:val="28"/>
                  <w:szCs w:val="28"/>
                </w:rPr>
                <w:t>статьей 17</w:t>
              </w:r>
            </w:hyperlink>
            <w:r w:rsidRPr="00E90DD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удорожания, коэффициент масштаба</w:t>
            </w:r>
          </w:p>
        </w:tc>
      </w:tr>
      <w:tr w:rsidR="00E90D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расходы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D4" w:rsidRDefault="00E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удорожания</w:t>
            </w:r>
          </w:p>
        </w:tc>
      </w:tr>
    </w:tbl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Коэффициент удорожания для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k(уд)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k(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k(ку)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k(уд)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удорожания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условные доли оплаты труда, коммунальных услуг и прочих расходов в стоимости оказания муниципальных услуг, выполнения работ (при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0,5;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0,1;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k(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различий в стоимости труда (рабочей силы)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k(ку)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различий в стоимости коммунальных услуг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Коэффициент различий в стоимости труда (рабочей силы) для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2240280" cy="586740"/>
            <wp:effectExtent l="0" t="0" r="762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k(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различий в стоимости труда (рабочей силы)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СЗП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среднемесячная начисленная заработная плата работников организаций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в отчетном году;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СЗП - средняя по Ленинградской области среднемесячная начисленная заработная плата работников организаций в отчетном году.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Коэффициент различий в стоимости коммунальных услуг для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>
            <wp:extent cx="3764280" cy="609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k(ку)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различий в стоимости коммунальных услуг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условные доли расходов на оплату теплоснабжения, водоснабжения и водоотведения в общем объеме расходов на указанные коммунальные услуги в среднем по муниципальным районам (городским округам) Ленинградской области (при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0,88;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0,05;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0,07);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>
            <wp:extent cx="373380" cy="35052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тариф на тепловую энергию (мощность) для муниципальных учреждений, рекомендуемый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очередной финансовый год (данные комитета по тарифам и ценовой политике Ленинградской области);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ТП</w:t>
      </w:r>
      <w:r>
        <w:rPr>
          <w:rFonts w:ascii="Times New Roman" w:hAnsi="Times New Roman" w:cs="Times New Roman"/>
          <w:sz w:val="28"/>
          <w:szCs w:val="28"/>
        </w:rPr>
        <w:t xml:space="preserve"> - средний прогнозный тариф на тепловую энергию (мощность) для муниципальных учреждений Ленинградской области на очередной финансовый год (данные комитета по тарифам и ценовой политике Ленинградской области);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lastRenderedPageBreak/>
        <w:drawing>
          <wp:inline distT="0" distB="0" distL="0" distR="0">
            <wp:extent cx="373380" cy="3505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тариф на питьевую воду (питьевое водоснабжение) для муниципальных учреждений, рекомендуемый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очередной финансовый год (данные комитета по тарифам и ценовой политике Ленинградской области);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 - средний прогнозный тариф на питьевую воду (питьевое водоснабжение) для муниципальных учреждений Ленинградской области на очередной финансовый год (данные комитета по тарифам и ценовой политике Ленинградской области);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3"/>
          <w:sz w:val="28"/>
          <w:szCs w:val="28"/>
          <w:lang w:eastAsia="ru-RU"/>
        </w:rPr>
        <w:drawing>
          <wp:inline distT="0" distB="0" distL="0" distR="0">
            <wp:extent cx="373380" cy="3505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тариф на водоотведение для муниципальных учреждений, рекомендуемый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очередной финансовый год (данные комитета по тарифам и ценовой политике Ленинградской области);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- средний прогнозный тариф на водоотведение для муниципальных учреждений Ленинградской области на очередной финансовый год (данные комитета по тарифам и ценовой политике Ленинградской области).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Коэффициент плотности для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8"/>
          <w:sz w:val="28"/>
          <w:szCs w:val="28"/>
          <w:lang w:eastAsia="ru-RU"/>
        </w:rPr>
        <w:drawing>
          <wp:inline distT="0" distB="0" distL="0" distR="0">
            <wp:extent cx="1470660" cy="6629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k(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плотности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площадь территории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 территории Ленинградской области;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Коэффициент масштаба для муниципального района (городского округа) определяется по формуле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4"/>
          <w:sz w:val="28"/>
          <w:szCs w:val="28"/>
          <w:lang w:eastAsia="ru-RU"/>
        </w:rPr>
        <w:lastRenderedPageBreak/>
        <w:drawing>
          <wp:inline distT="0" distB="0" distL="0" distR="0">
            <wp:extent cx="2453640" cy="61722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k(</w:t>
      </w:r>
      <w:proofErr w:type="spellStart"/>
      <w:r>
        <w:rPr>
          <w:rFonts w:ascii="Times New Roman" w:hAnsi="Times New Roman" w:cs="Times New Roman"/>
          <w:sz w:val="28"/>
          <w:szCs w:val="28"/>
        </w:rPr>
        <w:t>мш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масштаба для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области;</w:t>
      </w:r>
    </w:p>
    <w:p w:rsidR="00E90DD4" w:rsidRDefault="00E90DD4" w:rsidP="00E90D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j-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на начало текущего финансового года по данным территориального органа Федеральной службы государственной статистики по г. Санкт-Петербургу и Ленинградской области.</w:t>
      </w: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D4" w:rsidRDefault="00E90DD4" w:rsidP="00E90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0DD4" w:rsidSect="003F2965">
      <w:pgSz w:w="11905" w:h="16838"/>
      <w:pgMar w:top="70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CB"/>
    <w:rsid w:val="003F2BCB"/>
    <w:rsid w:val="00412F66"/>
    <w:rsid w:val="0087706B"/>
    <w:rsid w:val="00E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BAD56BC8CAE0BCA37D98F6BAF1FF02E552BEA4A61AB9D48DFED74E9BA3017C4D896738CEBCD06AA0DBB5F4073EC270A4E049D033DE84J5xDM" TargetMode="Externa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2F92BAD56BC8CAE0BCA37D98F6BAF1FF02E552BEA4A61AB9D48DFED74E9BA3017C4D896738CEBCD36BA0DBB5F4073EC270A4E049D033DE84J5xDM" TargetMode="External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92BAD56BC8CAE0BCA36289E3BAF1FF03EE53BAA0AC1AB9D48DFED74E9BA3017C4D89633FCEBEDA37FACBB1BD5336DD75BDFE4CCE33JDxFM" TargetMode="External"/><Relationship Id="rId34" Type="http://schemas.openxmlformats.org/officeDocument/2006/relationships/image" Target="media/image13.wmf"/><Relationship Id="rId7" Type="http://schemas.openxmlformats.org/officeDocument/2006/relationships/hyperlink" Target="consultantplus://offline/ref=2F92BAD56BC8CAE0BCA37D98F6BAF1FF02E552BEA4A61AB9D48DFED74E9BA3017C4D896738CEBCD066A0DBB5F4073EC270A4E049D033DE84J5xDM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2F92BAD56BC8CAE0BCA37D98F6BAF1FF02E552BEA4A61AB9D48DFED74E9BA3017C4D896738CEBCD364A0DBB5F4073EC270A4E049D033DE84J5xDM" TargetMode="External"/><Relationship Id="rId25" Type="http://schemas.openxmlformats.org/officeDocument/2006/relationships/hyperlink" Target="consultantplus://offline/ref=2F92BAD56BC8CAE0BCA37D98F6BAF1FF02E552BEA4A61AB9D48DFED74E9BA3017C4D896738CEBCD36AA0DBB5F4073EC270A4E049D033DE84J5xDM" TargetMode="External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92BAD56BC8CAE0BCA37D98F6BAF1FF02E552BEA4A61AB9D48DFED74E9BA3017C4D896738CEBCD365A0DBB5F4073EC270A4E049D033DE84J5xDM" TargetMode="External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2F92BAD56BC8CAE0BCA36289E3BAF1FF03EE53BAA0AC1AB9D48DFED74E9BA3017C4D89603BC9BCDA37FACBB1BD5336DD75BDFE4CCE33JDxFM" TargetMode="External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F92BAD56BC8CAE0BCA37D98F6BAF1FF02E552BEA4A61AB9D48DFED74E9BA3017C4D896738CEBCD060A0DBB5F4073EC270A4E049D033DE84J5xDM" TargetMode="Externa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2F92BAD56BC8CAE0BCA36289E3BAF1FF03EE53BAA0AC1AB9D48DFED74E9BA3017C4D89603BC9BCDA37FACBB1BD5336DD75BDFE4CCE33JDxFM" TargetMode="External"/><Relationship Id="rId28" Type="http://schemas.openxmlformats.org/officeDocument/2006/relationships/hyperlink" Target="consultantplus://offline/ref=2F92BAD56BC8CAE0BCA37D98F6BAF1FF02E552B1A1A71AB9D48DFED74E9BA3017C4D896738CEBFD263A0DBB5F4073EC270A4E049D033DE84J5xDM" TargetMode="External"/><Relationship Id="rId36" Type="http://schemas.openxmlformats.org/officeDocument/2006/relationships/image" Target="media/image15.wmf"/><Relationship Id="rId10" Type="http://schemas.openxmlformats.org/officeDocument/2006/relationships/hyperlink" Target="consultantplus://offline/ref=2F92BAD56BC8CAE0BCA37D98F6BAF1FF02E552BEA4A61AB9D48DFED74E9BA3017C4D896738CEBCD362A0DBB5F4073EC270A4E049D033DE84J5xDM" TargetMode="External"/><Relationship Id="rId19" Type="http://schemas.openxmlformats.org/officeDocument/2006/relationships/hyperlink" Target="consultantplus://offline/ref=2F92BAD56BC8CAE0BCA36289E3BAF1FF03EE53BAA0AC1AB9D48DFED74E9BA3017C4D89633FCEBEDA37FACBB1BD5336DD75BDFE4CCE33JDxFM" TargetMode="External"/><Relationship Id="rId31" Type="http://schemas.openxmlformats.org/officeDocument/2006/relationships/hyperlink" Target="consultantplus://offline/ref=2F92BAD56BC8CAE0BCA36289E3BAF1FF03EE53B8A0A91AB9D48DFED74E9BA3017C4D896738CEBDD865A0DBB5F4073EC270A4E049D033DE84J5x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2BAD56BC8CAE0BCA37D98F6BAF1FF02E552BEA4A61AB9D48DFED74E9BA3017C4D896738CEBCD363A0DBB5F4073EC270A4E049D033DE84J5xDM" TargetMode="External"/><Relationship Id="rId14" Type="http://schemas.openxmlformats.org/officeDocument/2006/relationships/hyperlink" Target="consultantplus://offline/ref=2F92BAD56BC8CAE0BCA37D98F6BAF1FF02E552BEA4A61AB9D48DFED74E9BA3017C4D896738CEBCD360A0DBB5F4073EC270A4E049D033DE84J5xDM" TargetMode="External"/><Relationship Id="rId22" Type="http://schemas.openxmlformats.org/officeDocument/2006/relationships/hyperlink" Target="consultantplus://offline/ref=2F92BAD56BC8CAE0BCA36289E3BAF1FF03EE53BAA0AC1AB9D48DFED74E9BA3017C4D89633FCEBEDA37FACBB1BD5336DD75BDFE4CCE33JDxFM" TargetMode="External"/><Relationship Id="rId27" Type="http://schemas.openxmlformats.org/officeDocument/2006/relationships/image" Target="media/image8.wmf"/><Relationship Id="rId30" Type="http://schemas.openxmlformats.org/officeDocument/2006/relationships/image" Target="media/image10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Степанова Елена Владимировна</cp:lastModifiedBy>
  <cp:revision>3</cp:revision>
  <dcterms:created xsi:type="dcterms:W3CDTF">2021-07-15T12:48:00Z</dcterms:created>
  <dcterms:modified xsi:type="dcterms:W3CDTF">2021-07-15T12:52:00Z</dcterms:modified>
</cp:coreProperties>
</file>