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6C" w:rsidRPr="000C116C" w:rsidRDefault="00D6049B" w:rsidP="000C11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0C116C" w:rsidRPr="000C116C" w:rsidRDefault="000C116C" w:rsidP="000C1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116C">
        <w:rPr>
          <w:rFonts w:ascii="Arial" w:hAnsi="Arial" w:cs="Arial"/>
          <w:sz w:val="20"/>
          <w:szCs w:val="20"/>
        </w:rPr>
        <w:t>к государственной программе</w:t>
      </w:r>
    </w:p>
    <w:p w:rsidR="000C116C" w:rsidRPr="000C116C" w:rsidRDefault="000C116C" w:rsidP="000C1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116C">
        <w:rPr>
          <w:rFonts w:ascii="Arial" w:hAnsi="Arial" w:cs="Arial"/>
          <w:sz w:val="20"/>
          <w:szCs w:val="20"/>
        </w:rPr>
        <w:t xml:space="preserve">Ленинградской области </w:t>
      </w:r>
    </w:p>
    <w:p w:rsidR="000C116C" w:rsidRPr="000C116C" w:rsidRDefault="000C116C" w:rsidP="000C1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116C">
        <w:rPr>
          <w:rFonts w:ascii="Arial" w:hAnsi="Arial" w:cs="Arial"/>
          <w:sz w:val="20"/>
          <w:szCs w:val="20"/>
        </w:rPr>
        <w:t xml:space="preserve">"Развитие физической культуры </w:t>
      </w:r>
    </w:p>
    <w:p w:rsidR="000C116C" w:rsidRPr="000C116C" w:rsidRDefault="000C116C" w:rsidP="000C1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116C">
        <w:rPr>
          <w:rFonts w:ascii="Arial" w:hAnsi="Arial" w:cs="Arial"/>
          <w:sz w:val="20"/>
          <w:szCs w:val="20"/>
        </w:rPr>
        <w:t>и спорта в Ленинградской области"</w:t>
      </w:r>
    </w:p>
    <w:p w:rsidR="000C116C" w:rsidRDefault="000C116C" w:rsidP="000C1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C116C" w:rsidRDefault="000C116C" w:rsidP="000C1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D6049B" w:rsidRDefault="00D6049B" w:rsidP="00D604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ПРЕДОСТАВЛЕНИЯ И РАСПРЕДЕЛЕНИЯ СУБСИДИЙ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ИЗ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ОБЛАСТНОГО</w:t>
      </w:r>
    </w:p>
    <w:p w:rsidR="00D6049B" w:rsidRDefault="00D6049B" w:rsidP="00D604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БЮДЖЕТА ЛЕНИНГРАДСКОЙ ОБЛАСТИ БЮДЖЕТАМ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МУНИЦИПАЛЬНЫХ</w:t>
      </w:r>
      <w:proofErr w:type="gramEnd"/>
    </w:p>
    <w:p w:rsidR="00D6049B" w:rsidRDefault="00D6049B" w:rsidP="00D604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ОБРАЗОВАНИЙ НА РЕАЛИЗАЦИЮ МЕРОПРИЯТИЙ ПО ПРОВЕДЕНИЮ</w:t>
      </w:r>
    </w:p>
    <w:p w:rsidR="00D6049B" w:rsidRDefault="00D6049B" w:rsidP="00D604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КАПИТАЛЬНОГО РЕМОНТА СПОРТИВНЫХ ОБЪЕКТОВ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60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49B" w:rsidRDefault="00D6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49B" w:rsidRDefault="00D6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49B" w:rsidRDefault="00D6049B" w:rsidP="0081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49B" w:rsidRDefault="00D6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6049B" w:rsidRDefault="00D6049B" w:rsidP="00D604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Настоящий Порядок определяет цели, результаты, условия предоставления, методику распределения, способ определения сроков перечисления субсидий из областного бюджета Ленинградской области бюджетам муниципальных образований Ленинградской области (далее соответственно - областной бюджет, муниципальные образования) на реализацию мероприятий по проведению капитального ремонта спортивных объектов в рамках подпрограммы "Развитие спортивной инфраструктуры Ленинградской области" государственной программы Ленинградской области "Развитие физической культуры и спорта в Ленинградской области" (далее</w:t>
      </w:r>
      <w:proofErr w:type="gramEnd"/>
      <w:r>
        <w:rPr>
          <w:rFonts w:ascii="Arial" w:hAnsi="Arial" w:cs="Arial"/>
          <w:sz w:val="20"/>
          <w:szCs w:val="20"/>
        </w:rPr>
        <w:t xml:space="preserve"> - субсидии), а также порядок отбора муниципальных образований для предоставления субсидий, основания и порядок применения мер финансовой ответственности к муниципальному образованию при невыполнении им условий соглашения о предоставлении субсидии.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Цели, результаты, условия предоставления субсидий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Субсидии предоставляются на софинансирование расходных обязательств, возникающих при выполнении полномочий органов местного самоуправления по решению вопросов местного значения в части обеспечения условий для развития на территории муниципального образования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Предоставление субсидий осуществляется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физической культуре и спорту Ленинградской области (далее - комитет).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Субсидии предоставляются в целях проведения капитального ремонта спортивных объектов.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Мероприятия по капитальному ремонту спортивных объектов осуществляются муниципальными образованиями в установленном законодательством Российской Федерации порядке.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Результатами использования субсидии являются: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спортивных объектов, в которых проведен капитальный ремонт, ед.;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сметной стоимости выполненных в течение года работ в общей сметной стоимости работ, проц.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3"/>
      <w:bookmarkEnd w:id="1"/>
      <w:r>
        <w:rPr>
          <w:rFonts w:ascii="Arial" w:hAnsi="Arial" w:cs="Arial"/>
          <w:sz w:val="20"/>
          <w:szCs w:val="20"/>
        </w:rPr>
        <w:t xml:space="preserve">2.6. Условия предоставления субсидий устанавливаются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>
        <w:rPr>
          <w:rFonts w:ascii="Arial" w:hAnsi="Arial" w:cs="Arial"/>
          <w:sz w:val="20"/>
          <w:szCs w:val="20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3. Порядок и критерии отбора муниципальных образований</w:t>
      </w:r>
    </w:p>
    <w:p w:rsidR="00D6049B" w:rsidRDefault="00D6049B" w:rsidP="00D604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субсидии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8"/>
      <w:bookmarkEnd w:id="2"/>
      <w:r>
        <w:rPr>
          <w:rFonts w:ascii="Arial" w:hAnsi="Arial" w:cs="Arial"/>
          <w:sz w:val="20"/>
          <w:szCs w:val="20"/>
        </w:rPr>
        <w:t>3.1. Распределение субсидий между муниципальными образованиями осуществляется на конкурсной основе. Отбор муниципальных образований для предоставления субсидии осуществляется на основе оценки заявок, поданных муниципальными образованиями.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9"/>
      <w:bookmarkEnd w:id="3"/>
      <w:r>
        <w:rPr>
          <w:rFonts w:ascii="Arial" w:hAnsi="Arial" w:cs="Arial"/>
          <w:sz w:val="20"/>
          <w:szCs w:val="20"/>
        </w:rPr>
        <w:t>3.2. Критерием, которому должно соответствовать муниципальное образование для допуска к оценке заявок (участию в отборе) муниципальных образований, является наличие на территории муниципального образования объекта физической культуры и спорта, требующего проведения капитального ремонта (кроме спортивных объектов, находящихся в ведении образовательных учреждений). Муниципальные образования, не соответствующие указанному критерию, к оценке заявок не допускаются.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Отбор муниципальных образований осуществляется комиссией по проведению конкурсного отбора муниципальных образований для предоставления субсидии (далее - конкурсная комиссия). Положение о конкурсной комиссии, состав конкурсной комиссии, форма заявки и способ ее подачи устанавливаются правовым актом комитета.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Комитет не менее чем за три рабочих дня до даты размещения информации в информационно-телекоммуникационной сети "Интернет" (далее - сеть "Интернет") уведомляет в письменной форме администрации муниципальных образований о дате размещения в сети "Интернет" сведений о начале приема заявок для участия в конкурсном отборе (далее - заявки).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заявок начинается со дня размещения на официальном сайте комитета в сети "Интернет" (http://sport.lenobl.ru/) объявления о проведении конкурсного отбора муниципальных образований, содержащего информацию о способе и форме подачи заявки. Срок приема заявок составляет 14 рабочих дней со дня размещения объявления.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3"/>
      <w:bookmarkEnd w:id="4"/>
      <w:r>
        <w:rPr>
          <w:rFonts w:ascii="Arial" w:hAnsi="Arial" w:cs="Arial"/>
          <w:sz w:val="20"/>
          <w:szCs w:val="20"/>
        </w:rPr>
        <w:t>3.5. Для участия в отборе на получение субсидии муниципальные образования в установленный срок представляют в комитет заявку от имени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мероприятию муниципальной программы, с приложением следующих документов: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копии правоустанавливающих документов, паспортов (учетных карточек) по форме, утвержденной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государственного комитета Российской Федерации по физической культуре и туризму от 8 апреля 1996 года N 117 "О проведении паспортизации и единовременного учета спортивных сооружений", на планируемый к капитальному ремонту спортивный объект;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копия положительного заключения экспертизы о достоверности определения сметной стоимости на объект капитального ремонта;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копия муниципального правового акта, подтверждающего наличие в бюджете муниципального образования бюджетных ассигнований на исполнение обязательств, софинансируемых за счет субсидии, или гарантийное письмо администрации муниципального образования о софинансировании мероприятия по капитальному ремонту спортивного объекта в объеме, определенном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6.4</w:t>
        </w:r>
      </w:hyperlink>
      <w:r>
        <w:rPr>
          <w:rFonts w:ascii="Arial" w:hAnsi="Arial" w:cs="Arial"/>
          <w:sz w:val="20"/>
          <w:szCs w:val="20"/>
        </w:rPr>
        <w:t xml:space="preserve"> Правил;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копия муниципальной программы, предусматривающей наличие мероприятий, соответствующих целям государственной программы Ленинградской области "Развитие физической культуры и спорта в Ленинградской области";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сведения об общем количестве спортивных объектов на территории муниципального образования, о количестве требующих капитального ремонта спортивных объектов и спортивных площадок.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Муниципальное образование несет ответственность за подлинность представленных в комитет документов.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40"/>
      <w:bookmarkEnd w:id="5"/>
      <w:r>
        <w:rPr>
          <w:rFonts w:ascii="Arial" w:hAnsi="Arial" w:cs="Arial"/>
          <w:sz w:val="20"/>
          <w:szCs w:val="20"/>
        </w:rPr>
        <w:t>3.6. Критерием оценки заявок является потребность в проведении в муниципальном образовании капитального ремонта спортивных объектов (далее - потребность в проведении капитального ремонта).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Потребность в проведении капитального ремонта в i-м муниципальном образовании определяется по следующей формуле: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"/>
          <w:sz w:val="20"/>
          <w:szCs w:val="20"/>
          <w:lang w:eastAsia="ru-RU"/>
        </w:rPr>
        <w:drawing>
          <wp:inline distT="0" distB="0" distL="0" distR="0">
            <wp:extent cx="685800" cy="427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потребность в проведении капитального ремонта в i-м муниципальном образовании;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СК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количество требующих капитального ремонта спортивных объектов i-го муниципального образования;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СО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общее количество спортивных объектов i-го муниципального образования.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Победителями конкурсного отбора признаются муниципальные образования, заявки которых набрали наибольшее количество баллов.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баллов (</w:t>
      </w:r>
      <w:proofErr w:type="spellStart"/>
      <w:r>
        <w:rPr>
          <w:rFonts w:ascii="Arial" w:hAnsi="Arial" w:cs="Arial"/>
          <w:sz w:val="20"/>
          <w:szCs w:val="20"/>
        </w:rPr>
        <w:t>Б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 рассчитывается по формуле: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x 100.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спортивных объектов, в отношении которых принято решение о софинансировании работ по капитальному ремонту (далее - перечень спортивных объектов), формируется в порядке убывания количества набранных баллов. При этом объекты, набравшие одинаковое количество баллов, ранжируются по дате подачи заявки муниципальным образованием -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более ранней к более поздней.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56"/>
      <w:bookmarkEnd w:id="6"/>
      <w:r>
        <w:rPr>
          <w:rFonts w:ascii="Arial" w:hAnsi="Arial" w:cs="Arial"/>
          <w:sz w:val="20"/>
          <w:szCs w:val="20"/>
        </w:rPr>
        <w:t>3.8. Основаниями для отказа в предоставлении субсидии являются: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несоответствие муниципального образования критерию отбора, предусмотренному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пунктом 3.2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несоблюдение условий предоставления субсидии, предусмотренных </w:t>
      </w:r>
      <w:hyperlink w:anchor="Par23" w:history="1">
        <w:r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представление документов за пределами срока, установленного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пунктом 3.4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несоответствие заявки требованиям, установленным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пунктом 3.5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требуемых документов;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указание недостоверных сведений в документах, предусмотренных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пунктом 3.5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 Конкурсная комиссия в срок не более пяти рабочих дней оценивает заявки муниципальных образований в соответствии с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пунктами 3.6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3.8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определяет объем субсидии за счет средств областного бюджета бюджетам муниципальных образований.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Предложение конкурсной комиссии о победителях конкурсного отбора носит рекомендательный характер и оформляется протоколом не позднее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конкурсной комиссии.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Комитет не позднее трех рабочих дней со дня подписания протокола принимает правовой акт о предоставлении муниципальному образованию субсидий или об отказе в предоставлении субсидии муниципальному образованию.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 Копия правового акта комитета направляется в адрес главы администрации муниципального образования в трехдневный срок со дня его принятия. В случае отклонения заявки муниципального образования указываются основания ее отклонения.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6"/>
      <w:bookmarkEnd w:id="7"/>
      <w:r>
        <w:rPr>
          <w:rFonts w:ascii="Arial" w:hAnsi="Arial" w:cs="Arial"/>
          <w:sz w:val="20"/>
          <w:szCs w:val="20"/>
        </w:rPr>
        <w:t xml:space="preserve">3.12. В течение 20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оформления</w:t>
      </w:r>
      <w:proofErr w:type="gramEnd"/>
      <w:r>
        <w:rPr>
          <w:rFonts w:ascii="Arial" w:hAnsi="Arial" w:cs="Arial"/>
          <w:sz w:val="20"/>
          <w:szCs w:val="20"/>
        </w:rPr>
        <w:t xml:space="preserve"> протокола конкурсной комиссии комитет разрабатывает проект нормативного правового акта Правительства Ленинградской области о перечне объектов капитального ремонта государственной программы и направляет его на согласование в установленном порядке.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3.13. Муниципальные образования - участники мероприятий, не вошедшие в перечень объектов муниципальных образований - получателей субсидий на очередной финансовый год, составляют резерв на получение субсидии в случае высвобождения средств по каким-либо основаниям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 случае увеличения бюджетных ассигнований на текущий финансовый год.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3.14. </w:t>
      </w:r>
      <w:proofErr w:type="gramStart"/>
      <w:r>
        <w:rPr>
          <w:rFonts w:ascii="Arial" w:hAnsi="Arial" w:cs="Arial"/>
          <w:sz w:val="20"/>
          <w:szCs w:val="20"/>
        </w:rPr>
        <w:t>При увеличении объема бюджетных ассигнований областного бюджета на предоставление субсидий в течение двух месяцев с даты вступления в силу</w:t>
      </w:r>
      <w:proofErr w:type="gramEnd"/>
      <w:r>
        <w:rPr>
          <w:rFonts w:ascii="Arial" w:hAnsi="Arial" w:cs="Arial"/>
          <w:sz w:val="20"/>
          <w:szCs w:val="20"/>
        </w:rPr>
        <w:t xml:space="preserve"> областного закона об областном бюджете Ленинградской области проводится дополнительный отбор заявок муниципальных образований в соответствии с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пунктами 3.1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3.12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Методика распределения субсидий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Распределение субсидии между муниципальными образованиями осуществляется исходя из заявок муниципальных образований, которым присвоены наивысшие рейтинговые номера, по формуле: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ЗС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УС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объем субсидии бюджету i-го муниципального образования;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ЗС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субсидии;</w:t>
      </w:r>
      <w:proofErr w:type="gramEnd"/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УС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предельный уровень софинансирования для i-го муниципального образования.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Предельный уровень софинансирования устанавливается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Распределение субсидий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субсидии, утвержденного на первый год планового периода, и не более 10 процентов общего объема соответствующей субсидии, утвержденного на второй год планового периода.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Утверждение нераспределенного между муниципальными образованиями объема субсидии на очередной финансовый год не допускается.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возникновении нераспределенного между муниципальными образованиями объема субсидии, превышающего предельные значения, установленные настоящим пунктом,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Утвержденный для муниципального образования объем субсидии может быть пересмотрен: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 уточнении расчетного объема расходов, необходимого для достижения значения результатов использования субсидии;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товаров, выполнение работ, оказание услуг;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 увеличении общего объема бюджетных ассигнований областного бюджета, предусмотренного для предоставления субсидии;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при распределении нераспределенного объема субсидии;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при распределении объема субсидии, образовавшегося в результате отказа одного или нескольких муниципальных образований от подписания соглашений.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Порядок расходования субсидий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Сроки перечисления субсидий определяются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Перечисление межбюджетных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эти межбюджетные субсидии.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Муниципальное образование представляет в комитет документы, подтверждающие потребность в осуществлении расходов.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Исчерпывающий перечень и формы документов, подтверждающих потребность в осуществлении расходов за счет средств субсидий, определяются соглашением. Соглашение заключается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пунктами 4.1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4.4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Комитет в течение трех рабочих дней проверяет полноту и корректность представленных муниципальным образованием документов.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При отсутствии замечаний по представленным документам средства субсидий подлежат перечислению в срок не позднее 10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представления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документов.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целей, порядка и условий предоставления субсидий, а также за соблюдением условий соглашений и условий контрактов (договоров, соглашений),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D6049B" w:rsidRDefault="00D6049B" w:rsidP="00D60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5.12. В случае недостижения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разделом 5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D6049B" w:rsidRDefault="00D6049B" w:rsidP="00D60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4075" w:rsidRPr="000C116C" w:rsidRDefault="003A4075"/>
    <w:sectPr w:rsidR="003A4075" w:rsidRPr="000C116C" w:rsidSect="00253AB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6C"/>
    <w:rsid w:val="000C116C"/>
    <w:rsid w:val="003A4075"/>
    <w:rsid w:val="00816C6A"/>
    <w:rsid w:val="00D6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EBBC2EA63381631783A80E1BD08902C064A21DC51CF702CF6299E9A5B3532B1FED3182C6C80441464E7A819ABA5D082B2A446BAB258D477UB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EBBC2EA63381631782C88F3BD08902D054327D955CF702CF6299E9A5B3532A3FE8B142D6498461D71B1F95F7FUFL" TargetMode="External"/><Relationship Id="rId11" Type="http://schemas.openxmlformats.org/officeDocument/2006/relationships/hyperlink" Target="consultantplus://offline/ref=2B5EBBC2EA63381631783A80E1BD08902C064A21DC51CF702CF6299E9A5B3532B1FED3182C6C83421264E7A819ABA5D082B2A446BAB258D477UBL" TargetMode="External"/><Relationship Id="rId5" Type="http://schemas.openxmlformats.org/officeDocument/2006/relationships/hyperlink" Target="consultantplus://offline/ref=2B5EBBC2EA63381631783A80E1BD08902C064A21DC51CF702CF6299E9A5B3532B1FED3182C6C82421C64E7A819ABA5D082B2A446BAB258D477UBL" TargetMode="External"/><Relationship Id="rId10" Type="http://schemas.openxmlformats.org/officeDocument/2006/relationships/hyperlink" Target="consultantplus://offline/ref=2B5EBBC2EA63381631783A80E1BD08902C064A21DC51CF702CF6299E9A5B3532B1FED3182C6C83451D64E7A819ABA5D082B2A446BAB258D477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5EBBC2EA63381631783A80E1BD08902C064A21DC51CF702CF6299E9A5B3532B1FED3182C6C83441564E7A819ABA5D082B2A446BAB258D477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dcterms:created xsi:type="dcterms:W3CDTF">2020-08-31T06:20:00Z</dcterms:created>
  <dcterms:modified xsi:type="dcterms:W3CDTF">2021-08-18T11:21:00Z</dcterms:modified>
</cp:coreProperties>
</file>