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F" w:rsidRPr="00980277" w:rsidRDefault="00980277" w:rsidP="00980277">
      <w:pPr>
        <w:pStyle w:val="ConsPlusTitle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E5AE7" w:rsidRPr="00980277" w:rsidRDefault="002E5A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0277">
        <w:rPr>
          <w:rFonts w:ascii="Times New Roman" w:hAnsi="Times New Roman" w:cs="Times New Roman"/>
          <w:sz w:val="28"/>
          <w:szCs w:val="28"/>
        </w:rPr>
        <w:t>ПАСПОРТ</w:t>
      </w:r>
    </w:p>
    <w:p w:rsidR="002E5AE7" w:rsidRPr="00980277" w:rsidRDefault="002E5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277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</w:t>
      </w:r>
    </w:p>
    <w:p w:rsidR="002E5AE7" w:rsidRPr="00980277" w:rsidRDefault="002E5AE7" w:rsidP="002E5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277">
        <w:rPr>
          <w:rFonts w:ascii="Times New Roman" w:hAnsi="Times New Roman" w:cs="Times New Roman"/>
          <w:sz w:val="28"/>
          <w:szCs w:val="28"/>
        </w:rPr>
        <w:t>"Управление государственными финансами и государственным долгом</w:t>
      </w:r>
    </w:p>
    <w:p w:rsidR="002E5AE7" w:rsidRPr="00980277" w:rsidRDefault="002E5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80277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2E5AE7" w:rsidRPr="00980277" w:rsidRDefault="002E5A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2E5AE7" w:rsidRPr="00980277" w:rsidTr="00B1778F">
        <w:tc>
          <w:tcPr>
            <w:tcW w:w="2836" w:type="dxa"/>
          </w:tcPr>
          <w:p w:rsidR="002E5AE7" w:rsidRPr="00980277" w:rsidRDefault="002E5AE7" w:rsidP="002E5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7512" w:type="dxa"/>
          </w:tcPr>
          <w:p w:rsidR="002E5AE7" w:rsidRPr="00980277" w:rsidRDefault="002E5AE7" w:rsidP="000267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программа реализуется в </w:t>
            </w:r>
            <w:r w:rsidR="00ED5256" w:rsidRPr="00980277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hyperlink w:anchor="P105" w:history="1">
              <w:r w:rsidRPr="009802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bookmarkStart w:id="0" w:name="_GoBack"/>
            <w:bookmarkEnd w:id="0"/>
          </w:p>
        </w:tc>
      </w:tr>
      <w:tr w:rsidR="002E5AE7" w:rsidRPr="00980277" w:rsidTr="00B1778F">
        <w:tc>
          <w:tcPr>
            <w:tcW w:w="2836" w:type="dxa"/>
          </w:tcPr>
          <w:p w:rsidR="002E5AE7" w:rsidRPr="00980277" w:rsidRDefault="002E5AE7" w:rsidP="002E5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512" w:type="dxa"/>
          </w:tcPr>
          <w:p w:rsidR="002E5AE7" w:rsidRPr="00980277" w:rsidRDefault="002E5AE7" w:rsidP="002E5A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2E5AE7" w:rsidRPr="00980277" w:rsidTr="00B1778F">
        <w:tc>
          <w:tcPr>
            <w:tcW w:w="2836" w:type="dxa"/>
          </w:tcPr>
          <w:p w:rsidR="002E5AE7" w:rsidRPr="00980277" w:rsidRDefault="002E5AE7" w:rsidP="002E5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512" w:type="dxa"/>
          </w:tcPr>
          <w:p w:rsidR="002E5AE7" w:rsidRPr="00980277" w:rsidRDefault="002E5AE7" w:rsidP="002E5AE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Комитет финансов Ленинградской области</w:t>
            </w:r>
          </w:p>
        </w:tc>
      </w:tr>
      <w:tr w:rsidR="002E5AE7" w:rsidRPr="00980277" w:rsidTr="00B1778F">
        <w:tc>
          <w:tcPr>
            <w:tcW w:w="2836" w:type="dxa"/>
          </w:tcPr>
          <w:p w:rsidR="002E5AE7" w:rsidRPr="00980277" w:rsidRDefault="002E5AE7" w:rsidP="002E5A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7512" w:type="dxa"/>
          </w:tcPr>
          <w:p w:rsidR="002E5AE7" w:rsidRPr="00980277" w:rsidRDefault="002E5AE7" w:rsidP="00E1260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бюджета Ленинградской области и высокого уровня долговой устойчивости</w:t>
            </w:r>
          </w:p>
        </w:tc>
      </w:tr>
      <w:tr w:rsidR="00B61C12" w:rsidRPr="00980277" w:rsidTr="00B1778F">
        <w:tc>
          <w:tcPr>
            <w:tcW w:w="2836" w:type="dxa"/>
          </w:tcPr>
          <w:p w:rsidR="00B61C12" w:rsidRPr="00980277" w:rsidRDefault="00B61C12" w:rsidP="00787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512" w:type="dxa"/>
          </w:tcPr>
          <w:p w:rsidR="00B61C12" w:rsidRPr="00980277" w:rsidRDefault="00B61C12" w:rsidP="00980277">
            <w:pPr>
              <w:pStyle w:val="ConsPlusNormal"/>
              <w:tabs>
                <w:tab w:val="left" w:pos="364"/>
                <w:tab w:val="left" w:pos="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6C8" w:rsidRPr="0098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C0358" w:rsidRPr="00980277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исполнения бюджетов муниципальных образований Ленинградской области.</w:t>
            </w:r>
          </w:p>
          <w:p w:rsidR="003C6A62" w:rsidRPr="00980277" w:rsidRDefault="008A3E8D" w:rsidP="00980277">
            <w:pPr>
              <w:pStyle w:val="ConsPlusNormal"/>
              <w:tabs>
                <w:tab w:val="left" w:pos="364"/>
              </w:tabs>
              <w:jc w:val="both"/>
              <w:rPr>
                <w:rStyle w:val="extendedtext-full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C6A62" w:rsidRPr="00980277">
              <w:rPr>
                <w:rFonts w:ascii="Times New Roman" w:hAnsi="Times New Roman" w:cs="Times New Roman"/>
                <w:sz w:val="28"/>
                <w:szCs w:val="28"/>
              </w:rPr>
              <w:t>Эффективное упра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</w:rPr>
              <w:t>вление государственным долгом и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C6A62" w:rsidRPr="00980277">
              <w:rPr>
                <w:rFonts w:ascii="Times New Roman" w:hAnsi="Times New Roman" w:cs="Times New Roman"/>
                <w:sz w:val="28"/>
                <w:szCs w:val="28"/>
              </w:rPr>
              <w:t>государственными финансовыми</w:t>
            </w:r>
            <w:r w:rsidR="00BC0358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активами Ленинградской области.</w:t>
            </w:r>
          </w:p>
          <w:p w:rsidR="00B61C12" w:rsidRPr="00980277" w:rsidRDefault="00ED5256" w:rsidP="00980277">
            <w:pPr>
              <w:pStyle w:val="ConsPlusNormal"/>
              <w:tabs>
                <w:tab w:val="left" w:pos="302"/>
                <w:tab w:val="left" w:pos="586"/>
                <w:tab w:val="left" w:pos="12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1C3E" w:rsidRPr="0098027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государственными финансами, повышение открытости и прозрачности представления информации о бюджетном процессе в Ленинградской области</w:t>
            </w:r>
            <w:r w:rsidR="00BC0358" w:rsidRPr="0098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1C12" w:rsidRPr="00980277" w:rsidTr="00B1778F">
        <w:tblPrEx>
          <w:tblBorders>
            <w:insideH w:val="nil"/>
          </w:tblBorders>
        </w:tblPrEx>
        <w:tc>
          <w:tcPr>
            <w:tcW w:w="2836" w:type="dxa"/>
            <w:tcBorders>
              <w:bottom w:val="nil"/>
            </w:tcBorders>
          </w:tcPr>
          <w:p w:rsidR="006C209E" w:rsidRPr="00980277" w:rsidRDefault="006C209E" w:rsidP="006C20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государственной программы</w:t>
            </w:r>
          </w:p>
          <w:p w:rsidR="00B61C12" w:rsidRPr="00980277" w:rsidRDefault="00B61C12" w:rsidP="00787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bottom w:val="nil"/>
            </w:tcBorders>
          </w:tcPr>
          <w:p w:rsidR="00B61C12" w:rsidRPr="00980277" w:rsidRDefault="008A3E8D" w:rsidP="000B163A">
            <w:pPr>
              <w:pStyle w:val="ConsPlusNormal"/>
              <w:tabs>
                <w:tab w:val="left" w:pos="444"/>
              </w:tabs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656C8" w:rsidRPr="00980277">
              <w:rPr>
                <w:rFonts w:ascii="Times New Roman" w:hAnsi="Times New Roman" w:cs="Times New Roman"/>
                <w:sz w:val="28"/>
                <w:szCs w:val="28"/>
              </w:rPr>
              <w:t>Отсутствует просроченная кредиторская задолженность  консолидированных бюджетов муниципальных образований Ленинградской области.</w:t>
            </w:r>
          </w:p>
          <w:p w:rsidR="00B61C12" w:rsidRPr="00980277" w:rsidRDefault="00B61C12" w:rsidP="000B163A">
            <w:pPr>
              <w:pStyle w:val="ConsPlusNormal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209E" w:rsidRPr="00980277">
              <w:rPr>
                <w:rFonts w:ascii="Times New Roman" w:hAnsi="Times New Roman" w:cs="Times New Roman"/>
                <w:sz w:val="28"/>
                <w:szCs w:val="28"/>
              </w:rPr>
              <w:t>Отнесение</w:t>
            </w:r>
            <w:r w:rsidR="00B00FA1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6C209E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группе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заемщиков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высоким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уровнем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долговой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9E" w:rsidRPr="00980277">
              <w:rPr>
                <w:rStyle w:val="extendedtext-short"/>
                <w:rFonts w:ascii="Times New Roman" w:hAnsi="Times New Roman" w:cs="Times New Roman"/>
                <w:bCs/>
                <w:sz w:val="28"/>
                <w:szCs w:val="28"/>
              </w:rPr>
              <w:t>устойчивости</w:t>
            </w:r>
          </w:p>
          <w:p w:rsidR="00B61C12" w:rsidRPr="00980277" w:rsidRDefault="00954D9C" w:rsidP="000B163A">
            <w:pPr>
              <w:pStyle w:val="ConsPlusNormal"/>
              <w:ind w:firstLine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65B5" w:rsidRPr="00980277">
              <w:rPr>
                <w:rFonts w:ascii="Times New Roman" w:hAnsi="Times New Roman" w:cs="Times New Roman"/>
                <w:sz w:val="28"/>
                <w:szCs w:val="28"/>
              </w:rPr>
              <w:t>Отнесение</w:t>
            </w:r>
            <w:r w:rsidR="00B00FA1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  <w:r w:rsidR="001F65B5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к группе с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</w:rPr>
              <w:t>убъектов Российской Федерации с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65B5" w:rsidRPr="00980277">
              <w:rPr>
                <w:rFonts w:ascii="Times New Roman" w:hAnsi="Times New Roman" w:cs="Times New Roman"/>
                <w:sz w:val="28"/>
                <w:szCs w:val="28"/>
              </w:rPr>
              <w:t>очень высоким уровнем открытости бюджетных данных к 2030 году.</w:t>
            </w:r>
          </w:p>
        </w:tc>
      </w:tr>
      <w:tr w:rsidR="006C209E" w:rsidRPr="00980277" w:rsidTr="00B1778F">
        <w:tc>
          <w:tcPr>
            <w:tcW w:w="2836" w:type="dxa"/>
          </w:tcPr>
          <w:p w:rsidR="006C209E" w:rsidRPr="00980277" w:rsidRDefault="006C209E" w:rsidP="00787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7512" w:type="dxa"/>
          </w:tcPr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</w:p>
        </w:tc>
      </w:tr>
      <w:tr w:rsidR="006C209E" w:rsidRPr="00980277" w:rsidTr="00B1778F">
        <w:tblPrEx>
          <w:tblBorders>
            <w:insideH w:val="nil"/>
          </w:tblBorders>
        </w:tblPrEx>
        <w:tc>
          <w:tcPr>
            <w:tcW w:w="2836" w:type="dxa"/>
            <w:tcBorders>
              <w:bottom w:val="nil"/>
            </w:tcBorders>
          </w:tcPr>
          <w:p w:rsidR="006C209E" w:rsidRPr="00980277" w:rsidRDefault="006C209E" w:rsidP="007871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512" w:type="dxa"/>
            <w:tcBorders>
              <w:bottom w:val="nil"/>
            </w:tcBorders>
          </w:tcPr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</w:t>
            </w:r>
            <w:r w:rsidR="00E350F0" w:rsidRPr="00980277">
              <w:rPr>
                <w:rFonts w:ascii="Times New Roman" w:hAnsi="Times New Roman" w:cs="Times New Roman"/>
                <w:sz w:val="28"/>
                <w:szCs w:val="28"/>
              </w:rPr>
              <w:t>ния государственной программы с 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учетом расчетных объе</w:t>
            </w:r>
            <w:r w:rsidR="00E350F0" w:rsidRPr="00980277">
              <w:rPr>
                <w:rFonts w:ascii="Times New Roman" w:hAnsi="Times New Roman" w:cs="Times New Roman"/>
                <w:sz w:val="28"/>
                <w:szCs w:val="28"/>
              </w:rPr>
              <w:t>мов дотаций (частей дотаций) на 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лиц, составляет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083887" w:rsidRPr="009802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11 307 457,7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11 995 864,3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12 926 617,0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14 142 416,0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14 801 127,5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15 453 102,4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8A3E8D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3887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16 132 9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60,3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 16 849 230,9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 17 503 074,0 тыс. рублей.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без учета расчетных объемов дотаций (частей дотаций) на выравнивание бюджетной обеспеченности муниципальных районов (городских округов), замененных дополнительными нормативами отчислений от налога на доходы физических лиц, составляет </w:t>
            </w:r>
            <w:r w:rsidR="00083887" w:rsidRPr="00980277">
              <w:rPr>
                <w:rFonts w:ascii="Times New Roman" w:hAnsi="Times New Roman" w:cs="Times New Roman"/>
                <w:sz w:val="28"/>
                <w:szCs w:val="28"/>
              </w:rPr>
              <w:t>64 543 9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6 261 659,0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6 571 330,2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6 559 516,6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7 278 681,8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7 402 022,0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7 476 866,7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8A3E8D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83887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7 598 3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88,1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2029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 7 700 169,5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 7 695 280,1 тыс. рублей.</w:t>
            </w:r>
          </w:p>
          <w:p w:rsidR="008A3E8D" w:rsidRPr="00980277" w:rsidRDefault="008A3E8D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Расчетные объемы дотаций на выравнивание бюджетной обеспеченности муниципальных районов (городских округов), замененные дополнительными нормативами отчислений от налога на доходы физических лиц, составляют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66 567 936,1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</w:t>
            </w:r>
            <w:r w:rsidR="000B163A" w:rsidRPr="009802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5 045 798,7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02" w:rsidRPr="00980277">
              <w:rPr>
                <w:rFonts w:ascii="Times New Roman" w:hAnsi="Times New Roman" w:cs="Times New Roman"/>
                <w:sz w:val="28"/>
                <w:szCs w:val="28"/>
              </w:rPr>
              <w:t>5 424 534,1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787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>6 367 100,4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6 863 734,2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7 399 105,5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7 976 235,7 тыс. рублей;</w:t>
            </w:r>
          </w:p>
          <w:p w:rsidR="006C209E" w:rsidRPr="00980277" w:rsidRDefault="006C209E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8A3E8D" w:rsidRPr="009802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 8 534 572,2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2029 год 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>– 9 149 061,4 тыс. рублей;</w:t>
            </w:r>
          </w:p>
          <w:p w:rsidR="008A3E8D" w:rsidRPr="00980277" w:rsidRDefault="008A3E8D" w:rsidP="008A3E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2030 год </w:t>
            </w:r>
            <w:r w:rsidR="0068101A" w:rsidRPr="00980277">
              <w:rPr>
                <w:rFonts w:ascii="Times New Roman" w:hAnsi="Times New Roman" w:cs="Times New Roman"/>
                <w:sz w:val="28"/>
                <w:szCs w:val="28"/>
              </w:rPr>
              <w:t>– 9 807 793,9 тыс. рублей.</w:t>
            </w:r>
          </w:p>
          <w:p w:rsidR="008A3E8D" w:rsidRPr="00980277" w:rsidRDefault="008A3E8D" w:rsidP="006C209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209E" w:rsidRPr="00980277" w:rsidTr="00B1778F">
        <w:tc>
          <w:tcPr>
            <w:tcW w:w="2836" w:type="dxa"/>
          </w:tcPr>
          <w:p w:rsidR="006C209E" w:rsidRPr="00980277" w:rsidRDefault="006C209E" w:rsidP="004F7A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налоговых расходов, направленных на достижение цели госуда</w:t>
            </w:r>
            <w:r w:rsidR="00A36028" w:rsidRPr="00980277">
              <w:rPr>
                <w:rFonts w:ascii="Times New Roman" w:hAnsi="Times New Roman" w:cs="Times New Roman"/>
                <w:sz w:val="28"/>
                <w:szCs w:val="28"/>
              </w:rPr>
              <w:t>рственной программы, - всего, в 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по </w:t>
            </w:r>
            <w:r w:rsidR="00A36028" w:rsidRPr="009802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одам реализации</w:t>
            </w:r>
          </w:p>
        </w:tc>
        <w:tc>
          <w:tcPr>
            <w:tcW w:w="7512" w:type="dxa"/>
          </w:tcPr>
          <w:p w:rsidR="006C209E" w:rsidRPr="00980277" w:rsidRDefault="006C209E" w:rsidP="000B163A">
            <w:pPr>
              <w:ind w:firstLine="30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277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2E5AE7" w:rsidRPr="00980277" w:rsidRDefault="002E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27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E5AE7" w:rsidRPr="00980277" w:rsidRDefault="002E5AE7" w:rsidP="000A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980277">
        <w:rPr>
          <w:rFonts w:ascii="Times New Roman" w:hAnsi="Times New Roman" w:cs="Times New Roman"/>
          <w:sz w:val="28"/>
          <w:szCs w:val="28"/>
        </w:rPr>
        <w:t xml:space="preserve">&lt;1&gt; Срок начала реализации Государственной программы - 1 января 2014 года </w:t>
      </w:r>
      <w:r w:rsidR="000B163A" w:rsidRPr="00980277">
        <w:rPr>
          <w:rFonts w:ascii="Times New Roman" w:hAnsi="Times New Roman" w:cs="Times New Roman"/>
          <w:sz w:val="28"/>
          <w:szCs w:val="28"/>
        </w:rPr>
        <w:t>(см.</w:t>
      </w:r>
      <w:r w:rsidR="000B163A" w:rsidRPr="0098027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0277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</w:t>
      </w:r>
      <w:r w:rsidR="00980277">
        <w:rPr>
          <w:rFonts w:ascii="Times New Roman" w:hAnsi="Times New Roman" w:cs="Times New Roman"/>
          <w:sz w:val="28"/>
          <w:szCs w:val="28"/>
        </w:rPr>
        <w:t>й области от 14.11.2013 №</w:t>
      </w:r>
      <w:r w:rsidR="005C424D" w:rsidRPr="00980277">
        <w:rPr>
          <w:rFonts w:ascii="Times New Roman" w:hAnsi="Times New Roman" w:cs="Times New Roman"/>
          <w:sz w:val="28"/>
          <w:szCs w:val="28"/>
        </w:rPr>
        <w:t xml:space="preserve"> 402 в </w:t>
      </w:r>
      <w:r w:rsidRPr="00980277">
        <w:rPr>
          <w:rFonts w:ascii="Times New Roman" w:hAnsi="Times New Roman" w:cs="Times New Roman"/>
          <w:sz w:val="28"/>
          <w:szCs w:val="28"/>
        </w:rPr>
        <w:t>предыдущей редакции).</w:t>
      </w:r>
    </w:p>
    <w:p w:rsidR="008A3E8D" w:rsidRPr="00980277" w:rsidRDefault="008A3E8D" w:rsidP="000A6E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3E8D" w:rsidRPr="00980277" w:rsidSect="00B1778F">
      <w:pgSz w:w="11905" w:h="16838"/>
      <w:pgMar w:top="1134" w:right="993" w:bottom="1134" w:left="85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A9" w:rsidRDefault="000C18A9" w:rsidP="002B55BE">
      <w:pPr>
        <w:spacing w:after="0" w:line="240" w:lineRule="auto"/>
      </w:pPr>
      <w:r>
        <w:separator/>
      </w:r>
    </w:p>
  </w:endnote>
  <w:endnote w:type="continuationSeparator" w:id="0">
    <w:p w:rsidR="000C18A9" w:rsidRDefault="000C18A9" w:rsidP="002B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A9" w:rsidRDefault="000C18A9" w:rsidP="002B55BE">
      <w:pPr>
        <w:spacing w:after="0" w:line="240" w:lineRule="auto"/>
      </w:pPr>
      <w:r>
        <w:separator/>
      </w:r>
    </w:p>
  </w:footnote>
  <w:footnote w:type="continuationSeparator" w:id="0">
    <w:p w:rsidR="000C18A9" w:rsidRDefault="000C18A9" w:rsidP="002B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D68"/>
    <w:multiLevelType w:val="hybridMultilevel"/>
    <w:tmpl w:val="57DA9B8A"/>
    <w:lvl w:ilvl="0" w:tplc="D52C73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E7"/>
    <w:rsid w:val="00007D07"/>
    <w:rsid w:val="00026724"/>
    <w:rsid w:val="00031569"/>
    <w:rsid w:val="00047E2B"/>
    <w:rsid w:val="00061CC3"/>
    <w:rsid w:val="00083887"/>
    <w:rsid w:val="00093FE4"/>
    <w:rsid w:val="000A04A6"/>
    <w:rsid w:val="000A6E6C"/>
    <w:rsid w:val="000B163A"/>
    <w:rsid w:val="000B1A88"/>
    <w:rsid w:val="000C18A9"/>
    <w:rsid w:val="000E25ED"/>
    <w:rsid w:val="00164FC4"/>
    <w:rsid w:val="00190F93"/>
    <w:rsid w:val="001D5D15"/>
    <w:rsid w:val="001F65B5"/>
    <w:rsid w:val="00213E01"/>
    <w:rsid w:val="00216304"/>
    <w:rsid w:val="00252263"/>
    <w:rsid w:val="002B55BE"/>
    <w:rsid w:val="002C6D25"/>
    <w:rsid w:val="002D2136"/>
    <w:rsid w:val="002E260D"/>
    <w:rsid w:val="002E5AE7"/>
    <w:rsid w:val="003656C8"/>
    <w:rsid w:val="0037248D"/>
    <w:rsid w:val="003C6A62"/>
    <w:rsid w:val="004453E0"/>
    <w:rsid w:val="004458A6"/>
    <w:rsid w:val="0044738E"/>
    <w:rsid w:val="0046130F"/>
    <w:rsid w:val="00481270"/>
    <w:rsid w:val="00492333"/>
    <w:rsid w:val="004D57B6"/>
    <w:rsid w:val="004F7AE2"/>
    <w:rsid w:val="0057556E"/>
    <w:rsid w:val="00585943"/>
    <w:rsid w:val="005C0E3B"/>
    <w:rsid w:val="005C3061"/>
    <w:rsid w:val="005C424D"/>
    <w:rsid w:val="006401FC"/>
    <w:rsid w:val="006627D4"/>
    <w:rsid w:val="00675788"/>
    <w:rsid w:val="0068101A"/>
    <w:rsid w:val="006C209E"/>
    <w:rsid w:val="00716ED5"/>
    <w:rsid w:val="0072644F"/>
    <w:rsid w:val="00782A97"/>
    <w:rsid w:val="0078712A"/>
    <w:rsid w:val="007C1C3E"/>
    <w:rsid w:val="007E4D97"/>
    <w:rsid w:val="008006AF"/>
    <w:rsid w:val="00800EF4"/>
    <w:rsid w:val="008326FF"/>
    <w:rsid w:val="00884F57"/>
    <w:rsid w:val="008A3E8D"/>
    <w:rsid w:val="00927B64"/>
    <w:rsid w:val="00954D9C"/>
    <w:rsid w:val="00956310"/>
    <w:rsid w:val="009672DB"/>
    <w:rsid w:val="00980277"/>
    <w:rsid w:val="009C0244"/>
    <w:rsid w:val="009C619A"/>
    <w:rsid w:val="00A02DB3"/>
    <w:rsid w:val="00A1273C"/>
    <w:rsid w:val="00A27B8D"/>
    <w:rsid w:val="00A36028"/>
    <w:rsid w:val="00A400C4"/>
    <w:rsid w:val="00A80ADF"/>
    <w:rsid w:val="00AC39FE"/>
    <w:rsid w:val="00AC3AA7"/>
    <w:rsid w:val="00B00FA1"/>
    <w:rsid w:val="00B13796"/>
    <w:rsid w:val="00B1778F"/>
    <w:rsid w:val="00B55B97"/>
    <w:rsid w:val="00B61C12"/>
    <w:rsid w:val="00B81102"/>
    <w:rsid w:val="00B94ABB"/>
    <w:rsid w:val="00B97A3B"/>
    <w:rsid w:val="00BA3D6C"/>
    <w:rsid w:val="00BC0358"/>
    <w:rsid w:val="00C521C2"/>
    <w:rsid w:val="00CC02E3"/>
    <w:rsid w:val="00CF21C9"/>
    <w:rsid w:val="00D15F9E"/>
    <w:rsid w:val="00D34FBB"/>
    <w:rsid w:val="00DA2934"/>
    <w:rsid w:val="00DA2EAB"/>
    <w:rsid w:val="00DA4902"/>
    <w:rsid w:val="00E0664B"/>
    <w:rsid w:val="00E1249A"/>
    <w:rsid w:val="00E1260A"/>
    <w:rsid w:val="00E350F0"/>
    <w:rsid w:val="00E35854"/>
    <w:rsid w:val="00E60791"/>
    <w:rsid w:val="00E91BAF"/>
    <w:rsid w:val="00EA0A0F"/>
    <w:rsid w:val="00ED5256"/>
    <w:rsid w:val="00EE2E99"/>
    <w:rsid w:val="00F050AC"/>
    <w:rsid w:val="00F33AC8"/>
    <w:rsid w:val="00F578E6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full">
    <w:name w:val="extendedtext-full"/>
    <w:basedOn w:val="a0"/>
    <w:rsid w:val="00B61C12"/>
  </w:style>
  <w:style w:type="character" w:customStyle="1" w:styleId="extendedtext-short">
    <w:name w:val="extendedtext-short"/>
    <w:basedOn w:val="a0"/>
    <w:rsid w:val="006C209E"/>
  </w:style>
  <w:style w:type="paragraph" w:styleId="a3">
    <w:name w:val="Balloon Text"/>
    <w:basedOn w:val="a"/>
    <w:link w:val="a4"/>
    <w:uiPriority w:val="99"/>
    <w:semiHidden/>
    <w:unhideWhenUsed/>
    <w:rsid w:val="0078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061"/>
    <w:pPr>
      <w:ind w:left="720"/>
      <w:contextualSpacing/>
    </w:pPr>
  </w:style>
  <w:style w:type="paragraph" w:styleId="a6">
    <w:name w:val="Body Text"/>
    <w:basedOn w:val="a"/>
    <w:link w:val="a7"/>
    <w:rsid w:val="00213E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E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5BE"/>
  </w:style>
  <w:style w:type="paragraph" w:styleId="ab">
    <w:name w:val="footer"/>
    <w:basedOn w:val="a"/>
    <w:link w:val="ac"/>
    <w:uiPriority w:val="99"/>
    <w:unhideWhenUsed/>
    <w:rsid w:val="002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extendedtext-full">
    <w:name w:val="extendedtext-full"/>
    <w:basedOn w:val="a0"/>
    <w:rsid w:val="00B61C12"/>
  </w:style>
  <w:style w:type="character" w:customStyle="1" w:styleId="extendedtext-short">
    <w:name w:val="extendedtext-short"/>
    <w:basedOn w:val="a0"/>
    <w:rsid w:val="006C209E"/>
  </w:style>
  <w:style w:type="paragraph" w:styleId="a3">
    <w:name w:val="Balloon Text"/>
    <w:basedOn w:val="a"/>
    <w:link w:val="a4"/>
    <w:uiPriority w:val="99"/>
    <w:semiHidden/>
    <w:unhideWhenUsed/>
    <w:rsid w:val="0078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061"/>
    <w:pPr>
      <w:ind w:left="720"/>
      <w:contextualSpacing/>
    </w:pPr>
  </w:style>
  <w:style w:type="paragraph" w:styleId="a6">
    <w:name w:val="Body Text"/>
    <w:basedOn w:val="a"/>
    <w:link w:val="a7"/>
    <w:rsid w:val="00213E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13E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64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55BE"/>
  </w:style>
  <w:style w:type="paragraph" w:styleId="ab">
    <w:name w:val="footer"/>
    <w:basedOn w:val="a"/>
    <w:link w:val="ac"/>
    <w:uiPriority w:val="99"/>
    <w:unhideWhenUsed/>
    <w:rsid w:val="002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5515-B66B-4A0D-A37A-E8E7656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Юлия Викторовна</dc:creator>
  <cp:lastModifiedBy>Елена Александровна Павлова</cp:lastModifiedBy>
  <cp:revision>2</cp:revision>
  <cp:lastPrinted>2021-10-07T07:30:00Z</cp:lastPrinted>
  <dcterms:created xsi:type="dcterms:W3CDTF">2021-10-13T08:06:00Z</dcterms:created>
  <dcterms:modified xsi:type="dcterms:W3CDTF">2021-10-13T08:06:00Z</dcterms:modified>
</cp:coreProperties>
</file>