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17" w:rsidRDefault="00195B17">
      <w:pPr>
        <w:pStyle w:val="ConsPlusTitle"/>
        <w:jc w:val="center"/>
        <w:outlineLvl w:val="1"/>
      </w:pPr>
      <w:bookmarkStart w:id="0" w:name="P393"/>
      <w:bookmarkEnd w:id="0"/>
      <w:r>
        <w:t>Подпрограмма 3.</w:t>
      </w:r>
    </w:p>
    <w:p w:rsidR="00195B17" w:rsidRDefault="00195B17">
      <w:pPr>
        <w:pStyle w:val="ConsPlusTitle"/>
        <w:jc w:val="center"/>
      </w:pPr>
      <w:r>
        <w:t>"Повышение эффективности и открытости бюджета</w:t>
      </w:r>
    </w:p>
    <w:p w:rsidR="00195B17" w:rsidRDefault="00195B17" w:rsidP="0077514B">
      <w:pPr>
        <w:pStyle w:val="ConsPlusTitle"/>
        <w:jc w:val="center"/>
      </w:pPr>
      <w:r>
        <w:t>Ленинградской области"</w:t>
      </w:r>
    </w:p>
    <w:p w:rsidR="00195B17" w:rsidRDefault="00195B17">
      <w:pPr>
        <w:pStyle w:val="ConsPlusTitle"/>
        <w:jc w:val="center"/>
        <w:outlineLvl w:val="2"/>
      </w:pPr>
      <w:r>
        <w:t>ПАСПОРТ</w:t>
      </w:r>
    </w:p>
    <w:p w:rsidR="00195B17" w:rsidRDefault="00195B17">
      <w:pPr>
        <w:pStyle w:val="ConsPlusTitle"/>
        <w:jc w:val="center"/>
      </w:pPr>
      <w:r>
        <w:t>подпрограммы "Повышение эффективности и открытости бюджета</w:t>
      </w:r>
    </w:p>
    <w:p w:rsidR="00195B17" w:rsidRDefault="00195B17" w:rsidP="0077514B">
      <w:pPr>
        <w:pStyle w:val="ConsPlusTitle"/>
        <w:jc w:val="center"/>
      </w:pPr>
      <w:r>
        <w:t>Ленинградской области"</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5B17">
        <w:tc>
          <w:tcPr>
            <w:tcW w:w="2041" w:type="dxa"/>
          </w:tcPr>
          <w:p w:rsidR="00195B17" w:rsidRDefault="00195B17">
            <w:pPr>
              <w:pStyle w:val="ConsPlusNormal"/>
            </w:pPr>
            <w:r>
              <w:t>Полное наименование</w:t>
            </w:r>
          </w:p>
        </w:tc>
        <w:tc>
          <w:tcPr>
            <w:tcW w:w="7030" w:type="dxa"/>
          </w:tcPr>
          <w:p w:rsidR="00195B17" w:rsidRDefault="00195B17">
            <w:pPr>
              <w:pStyle w:val="ConsPlusNormal"/>
              <w:ind w:firstLine="283"/>
              <w:jc w:val="both"/>
            </w:pPr>
            <w:r>
              <w:t>Подпрограмма "Повышение эффективности и открытости бюджета Ленинградской области" (далее - Подпрограмма)</w:t>
            </w:r>
          </w:p>
        </w:tc>
      </w:tr>
      <w:tr w:rsidR="00195B17">
        <w:tc>
          <w:tcPr>
            <w:tcW w:w="2041" w:type="dxa"/>
          </w:tcPr>
          <w:p w:rsidR="00195B17" w:rsidRDefault="00195B17">
            <w:pPr>
              <w:pStyle w:val="ConsPlusNormal"/>
            </w:pPr>
            <w:r>
              <w:t>Ответственный исполнитель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Участники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Цель подпрограммы</w:t>
            </w:r>
          </w:p>
        </w:tc>
        <w:tc>
          <w:tcPr>
            <w:tcW w:w="7030" w:type="dxa"/>
          </w:tcPr>
          <w:p w:rsidR="00195B17" w:rsidRDefault="00195B17">
            <w:pPr>
              <w:pStyle w:val="ConsPlusNormal"/>
              <w:ind w:firstLine="283"/>
              <w:jc w:val="both"/>
            </w:pPr>
            <w:r>
              <w:t>Совершенствование механизмов управления бюджетным процессом</w:t>
            </w:r>
          </w:p>
        </w:tc>
      </w:tr>
      <w:tr w:rsidR="00195B17">
        <w:tc>
          <w:tcPr>
            <w:tcW w:w="2041" w:type="dxa"/>
          </w:tcPr>
          <w:p w:rsidR="00195B17" w:rsidRDefault="00195B17">
            <w:pPr>
              <w:pStyle w:val="ConsPlusNormal"/>
            </w:pPr>
            <w:r>
              <w:t>Задачи подпрограммы</w:t>
            </w:r>
          </w:p>
        </w:tc>
        <w:tc>
          <w:tcPr>
            <w:tcW w:w="7030" w:type="dxa"/>
          </w:tcPr>
          <w:p w:rsidR="00195B17" w:rsidRDefault="00195B17">
            <w:pPr>
              <w:pStyle w:val="ConsPlusNormal"/>
              <w:ind w:firstLine="283"/>
              <w:jc w:val="both"/>
            </w:pPr>
            <w:r>
              <w:t>1. Повышение открытости и прозрачности бюджетного процесса в Ленинградской области.</w:t>
            </w:r>
          </w:p>
          <w:p w:rsidR="00195B17" w:rsidRDefault="00195B17">
            <w:pPr>
              <w:pStyle w:val="ConsPlusNormal"/>
              <w:ind w:firstLine="283"/>
              <w:jc w:val="both"/>
            </w:pPr>
            <w:r>
              <w:t>2. Совершенствование системы механизмов представления информации о бюджете Ленинградской области.</w:t>
            </w:r>
          </w:p>
          <w:p w:rsidR="00195B17" w:rsidRDefault="00195B17">
            <w:pPr>
              <w:pStyle w:val="ConsPlusNormal"/>
              <w:ind w:firstLine="283"/>
              <w:jc w:val="both"/>
            </w:pPr>
            <w:r>
              <w:t>3. Создание условий для устойчивого повышения эффективности расходов бюджета Ленинградской области.</w:t>
            </w:r>
          </w:p>
          <w:p w:rsidR="00195B17" w:rsidRDefault="00195B17">
            <w:pPr>
              <w:pStyle w:val="ConsPlusNormal"/>
              <w:ind w:firstLine="283"/>
              <w:jc w:val="both"/>
            </w:pPr>
            <w:r>
              <w:t>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tc>
      </w:tr>
      <w:tr w:rsidR="00195B17">
        <w:tc>
          <w:tcPr>
            <w:tcW w:w="2041" w:type="dxa"/>
          </w:tcPr>
          <w:p w:rsidR="00195B17" w:rsidRDefault="00195B17">
            <w:pPr>
              <w:pStyle w:val="ConsPlusNormal"/>
            </w:pPr>
            <w:r>
              <w:t>Сроки реализации подпрограммы</w:t>
            </w:r>
          </w:p>
        </w:tc>
        <w:tc>
          <w:tcPr>
            <w:tcW w:w="7030" w:type="dxa"/>
          </w:tcPr>
          <w:p w:rsidR="00195B17" w:rsidRDefault="00195B17">
            <w:pPr>
              <w:pStyle w:val="ConsPlusNormal"/>
              <w:ind w:firstLine="283"/>
              <w:jc w:val="both"/>
            </w:pPr>
            <w:r>
              <w:t xml:space="preserve">2018-2024 годы </w:t>
            </w:r>
            <w:hyperlink w:anchor="P434" w:history="1">
              <w:r>
                <w:rPr>
                  <w:color w:val="0000FF"/>
                </w:rPr>
                <w:t>&lt;4&gt;</w:t>
              </w:r>
            </w:hyperlink>
          </w:p>
        </w:tc>
      </w:tr>
      <w:tr w:rsidR="00195B17">
        <w:tblPrEx>
          <w:tblBorders>
            <w:insideH w:val="nil"/>
          </w:tblBorders>
        </w:tblPrEx>
        <w:tc>
          <w:tcPr>
            <w:tcW w:w="2041" w:type="dxa"/>
            <w:tcBorders>
              <w:bottom w:val="nil"/>
            </w:tcBorders>
          </w:tcPr>
          <w:p w:rsidR="00195B17" w:rsidRDefault="00195B1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5B17" w:rsidRDefault="00195B17">
            <w:pPr>
              <w:pStyle w:val="ConsPlusNormal"/>
              <w:ind w:firstLine="283"/>
              <w:jc w:val="both"/>
            </w:pPr>
            <w:r>
              <w:t>Общий объем финансирования подпрограммы составляет 65429,80 тыс. рублей, в том числе:</w:t>
            </w:r>
          </w:p>
          <w:p w:rsidR="00195B17" w:rsidRDefault="00195B17">
            <w:pPr>
              <w:pStyle w:val="ConsPlusNormal"/>
              <w:ind w:firstLine="283"/>
              <w:jc w:val="both"/>
            </w:pPr>
            <w:r>
              <w:t>2018 год - 16607,0 тыс. рублей;</w:t>
            </w:r>
          </w:p>
          <w:p w:rsidR="00195B17" w:rsidRDefault="00195B17">
            <w:pPr>
              <w:pStyle w:val="ConsPlusNormal"/>
              <w:ind w:firstLine="283"/>
              <w:jc w:val="both"/>
            </w:pPr>
            <w:r>
              <w:t>2019 год - 9635,4 тыс. рублей;</w:t>
            </w:r>
          </w:p>
          <w:p w:rsidR="00195B17" w:rsidRDefault="00195B17">
            <w:pPr>
              <w:pStyle w:val="ConsPlusNormal"/>
              <w:ind w:firstLine="283"/>
              <w:jc w:val="both"/>
            </w:pPr>
            <w:r>
              <w:t>2020 год - 3637,4 тыс. рублей;</w:t>
            </w:r>
          </w:p>
          <w:p w:rsidR="00195B17" w:rsidRDefault="00195B17">
            <w:pPr>
              <w:pStyle w:val="ConsPlusNormal"/>
              <w:ind w:firstLine="283"/>
              <w:jc w:val="both"/>
            </w:pPr>
            <w:r>
              <w:t>2021 год - 9850,0 тыс. рублей;</w:t>
            </w:r>
          </w:p>
          <w:p w:rsidR="00195B17" w:rsidRDefault="00195B17">
            <w:pPr>
              <w:pStyle w:val="ConsPlusNormal"/>
              <w:ind w:firstLine="283"/>
              <w:jc w:val="both"/>
            </w:pPr>
            <w:r>
              <w:t>2022 год - 9850,0 тыс. рублей;</w:t>
            </w:r>
          </w:p>
          <w:p w:rsidR="00195B17" w:rsidRDefault="00195B17">
            <w:pPr>
              <w:pStyle w:val="ConsPlusNormal"/>
              <w:ind w:firstLine="283"/>
              <w:jc w:val="both"/>
            </w:pPr>
            <w:r>
              <w:t>2023 год - 9850,0 тыс. рублей;</w:t>
            </w:r>
          </w:p>
          <w:p w:rsidR="00195B17" w:rsidRDefault="00195B17">
            <w:pPr>
              <w:pStyle w:val="ConsPlusNormal"/>
              <w:ind w:firstLine="283"/>
              <w:jc w:val="both"/>
            </w:pPr>
            <w:r>
              <w:t>2024 год - 6000,0 тыс. рублей</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w:t>
            </w:r>
            <w:hyperlink r:id="rId5" w:history="1">
              <w:r>
                <w:rPr>
                  <w:color w:val="0000FF"/>
                </w:rPr>
                <w:t>Постановления</w:t>
              </w:r>
            </w:hyperlink>
            <w:r>
              <w:t xml:space="preserve"> Правительства Ленинградской области от 10.11.2020 N 732)</w:t>
            </w:r>
          </w:p>
        </w:tc>
      </w:tr>
      <w:tr w:rsidR="00195B17">
        <w:tblPrEx>
          <w:tblBorders>
            <w:insideH w:val="nil"/>
          </w:tblBorders>
        </w:tblPrEx>
        <w:tc>
          <w:tcPr>
            <w:tcW w:w="2041" w:type="dxa"/>
            <w:tcBorders>
              <w:bottom w:val="nil"/>
            </w:tcBorders>
          </w:tcPr>
          <w:p w:rsidR="00195B17" w:rsidRDefault="00195B17">
            <w:pPr>
              <w:pStyle w:val="ConsPlusNormal"/>
            </w:pPr>
            <w:r>
              <w:t>Ожидаемые результаты реализации подпрограммы</w:t>
            </w:r>
          </w:p>
        </w:tc>
        <w:tc>
          <w:tcPr>
            <w:tcW w:w="7030" w:type="dxa"/>
            <w:tcBorders>
              <w:bottom w:val="nil"/>
            </w:tcBorders>
          </w:tcPr>
          <w:p w:rsidR="00195B17" w:rsidRDefault="00195B17">
            <w:pPr>
              <w:pStyle w:val="ConsPlusNormal"/>
              <w:ind w:firstLine="283"/>
              <w:jc w:val="both"/>
            </w:pPr>
            <w:r>
              <w:t>1. Уровень открытости бюджетных данных в Ленинградской области - 80 проц. в 2024 году.</w:t>
            </w:r>
          </w:p>
          <w:p w:rsidR="00195B17" w:rsidRDefault="00195B17">
            <w:pPr>
              <w:pStyle w:val="ConsPlusNormal"/>
              <w:ind w:firstLine="283"/>
              <w:jc w:val="both"/>
            </w:pPr>
            <w:r>
              <w:t>2. Доля публикуемых документов бюджетного процесса - 100 проц.</w:t>
            </w:r>
          </w:p>
          <w:p w:rsidR="00195B17" w:rsidRDefault="00195B17">
            <w:pPr>
              <w:pStyle w:val="ConsPlusNormal"/>
              <w:ind w:firstLine="283"/>
              <w:jc w:val="both"/>
            </w:pPr>
            <w:r>
              <w:t>3. 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 к 2024 году, - 18 ед.</w:t>
            </w:r>
          </w:p>
          <w:p w:rsidR="00195B17" w:rsidRDefault="00195B17">
            <w:pPr>
              <w:pStyle w:val="ConsPlusNormal"/>
              <w:ind w:firstLine="283"/>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 к 2024 году</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Постановлений Правительства Ленинградской области от 27.12.2019 </w:t>
            </w:r>
            <w:hyperlink r:id="rId6" w:history="1">
              <w:r>
                <w:rPr>
                  <w:color w:val="0000FF"/>
                </w:rPr>
                <w:t>N 627</w:t>
              </w:r>
            </w:hyperlink>
            <w:r>
              <w:t xml:space="preserve">, от 31.08.2020 </w:t>
            </w:r>
            <w:hyperlink r:id="rId7" w:history="1">
              <w:r>
                <w:rPr>
                  <w:color w:val="0000FF"/>
                </w:rPr>
                <w:t>N 607</w:t>
              </w:r>
            </w:hyperlink>
            <w:r>
              <w:t xml:space="preserve">, от 30.06.2021 </w:t>
            </w:r>
            <w:hyperlink r:id="rId8" w:history="1">
              <w:r>
                <w:rPr>
                  <w:color w:val="0000FF"/>
                </w:rPr>
                <w:t>N 415</w:t>
              </w:r>
            </w:hyperlink>
            <w:r>
              <w:t>)</w:t>
            </w:r>
          </w:p>
        </w:tc>
      </w:tr>
    </w:tbl>
    <w:p w:rsidR="00195B17" w:rsidRDefault="00195B17">
      <w:pPr>
        <w:pStyle w:val="ConsPlusNormal"/>
      </w:pPr>
    </w:p>
    <w:p w:rsidR="00195B17" w:rsidRDefault="00195B17">
      <w:pPr>
        <w:pStyle w:val="ConsPlusNormal"/>
        <w:ind w:firstLine="540"/>
        <w:jc w:val="both"/>
      </w:pPr>
      <w:r>
        <w:t>--------------------------------</w:t>
      </w:r>
    </w:p>
    <w:p w:rsidR="00195B17" w:rsidRDefault="00195B17">
      <w:pPr>
        <w:pStyle w:val="ConsPlusNormal"/>
        <w:spacing w:before="220"/>
        <w:ind w:firstLine="540"/>
        <w:jc w:val="both"/>
      </w:pPr>
      <w:bookmarkStart w:id="2" w:name="P434"/>
      <w:bookmarkEnd w:id="2"/>
      <w:r>
        <w:t>&lt;4&gt; Срок начала реализации подпрограммы 3 Государственной программы - 1 января 2014 года (см. Постановление Правительства Ленинградской области от 14.11.2013 N 402 в предыдущей редакции).</w:t>
      </w:r>
    </w:p>
    <w:p w:rsidR="00195B17" w:rsidRDefault="00195B17">
      <w:pPr>
        <w:pStyle w:val="ConsPlusNormal"/>
      </w:pPr>
    </w:p>
    <w:p w:rsidR="00195B17" w:rsidRDefault="00195B17">
      <w:pPr>
        <w:pStyle w:val="ConsPlusTitle"/>
        <w:jc w:val="center"/>
        <w:outlineLvl w:val="2"/>
      </w:pPr>
      <w:r>
        <w:t>1. Обоснование цели, задач и ожидаемых результатов</w:t>
      </w:r>
    </w:p>
    <w:p w:rsidR="00195B17" w:rsidRDefault="00195B17">
      <w:pPr>
        <w:pStyle w:val="ConsPlusTitle"/>
        <w:jc w:val="center"/>
      </w:pPr>
      <w:r>
        <w:t>реализации Подпрограммы</w:t>
      </w:r>
    </w:p>
    <w:p w:rsidR="00195B17" w:rsidRDefault="00195B17">
      <w:pPr>
        <w:pStyle w:val="ConsPlusNormal"/>
      </w:pPr>
    </w:p>
    <w:p w:rsidR="00195B17" w:rsidRDefault="00195B17">
      <w:pPr>
        <w:pStyle w:val="ConsPlusNormal"/>
        <w:ind w:firstLine="540"/>
        <w:jc w:val="both"/>
      </w:pPr>
      <w:r>
        <w:t xml:space="preserve">При развитии системы "Открытый бюджет" целесообразно применить сочетание централизованного и децентрализованного подходов, обеспечив централизацию информационных потоков, влияющих на полноту, достоверность и оперативность </w:t>
      </w:r>
      <w:proofErr w:type="gramStart"/>
      <w:r>
        <w:t>учета финансово-хозяйственной деятельности организаций сектора государственного управления</w:t>
      </w:r>
      <w:proofErr w:type="gramEnd"/>
      <w:r>
        <w:t xml:space="preserve"> и публично-правовых образований, с последующей интеграцией их с процессами, охватывающими всю деятельность публично-правовых образований.</w:t>
      </w:r>
    </w:p>
    <w:p w:rsidR="00195B17" w:rsidRDefault="00195B17">
      <w:pPr>
        <w:pStyle w:val="ConsPlusNormal"/>
        <w:spacing w:before="220"/>
        <w:ind w:firstLine="540"/>
        <w:jc w:val="both"/>
      </w:pPr>
      <w:r>
        <w:t>С учетом приоритетов целью Подпрограммы является совершенствование механизмов управления бюджетным процессом.</w:t>
      </w:r>
    </w:p>
    <w:p w:rsidR="00195B17" w:rsidRDefault="00195B17">
      <w:pPr>
        <w:pStyle w:val="ConsPlusNormal"/>
        <w:spacing w:before="220"/>
        <w:ind w:firstLine="540"/>
        <w:jc w:val="both"/>
      </w:pPr>
      <w:r>
        <w:t>Для достижения указанных целей необходимо обеспечить решение следующих задач:</w:t>
      </w:r>
    </w:p>
    <w:p w:rsidR="00195B17" w:rsidRDefault="00195B17">
      <w:pPr>
        <w:pStyle w:val="ConsPlusNormal"/>
        <w:spacing w:before="220"/>
        <w:ind w:firstLine="540"/>
        <w:jc w:val="both"/>
      </w:pPr>
      <w:r>
        <w:t>Задача 1: повышение открытости и прозрачности бюджетного процесса в Ленинградской области;</w:t>
      </w:r>
    </w:p>
    <w:p w:rsidR="00195B17" w:rsidRDefault="00195B17">
      <w:pPr>
        <w:pStyle w:val="ConsPlusNormal"/>
        <w:spacing w:before="220"/>
        <w:ind w:firstLine="540"/>
        <w:jc w:val="both"/>
      </w:pPr>
      <w:r>
        <w:t>Задача 2: совершенствование системы механизмов представления информации о бюджете Ленинградской области;</w:t>
      </w:r>
    </w:p>
    <w:p w:rsidR="00195B17" w:rsidRDefault="00195B17">
      <w:pPr>
        <w:pStyle w:val="ConsPlusNormal"/>
        <w:spacing w:before="220"/>
        <w:ind w:firstLine="540"/>
        <w:jc w:val="both"/>
      </w:pPr>
      <w:r>
        <w:t>Задача 3: создание условий для устойчивого повышения эффективности расходов бюджета Ленинградской области;</w:t>
      </w:r>
    </w:p>
    <w:p w:rsidR="00195B17" w:rsidRDefault="00195B17">
      <w:pPr>
        <w:pStyle w:val="ConsPlusNormal"/>
        <w:spacing w:before="220"/>
        <w:ind w:firstLine="540"/>
        <w:jc w:val="both"/>
      </w:pPr>
      <w:r>
        <w:t>Задача 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p w:rsidR="00195B17" w:rsidRDefault="00195B17">
      <w:pPr>
        <w:pStyle w:val="ConsPlusNormal"/>
        <w:spacing w:before="220"/>
        <w:ind w:firstLine="540"/>
        <w:jc w:val="both"/>
      </w:pPr>
      <w:r>
        <w:t>Ожидаемые результаты реализации государственной программы к концу 2024 года:</w:t>
      </w:r>
    </w:p>
    <w:p w:rsidR="00195B17" w:rsidRDefault="00195B17">
      <w:pPr>
        <w:pStyle w:val="ConsPlusNormal"/>
        <w:spacing w:before="220"/>
        <w:ind w:firstLine="540"/>
        <w:jc w:val="both"/>
      </w:pPr>
      <w:r>
        <w:t>1. Уровень открытости бюджетных данных в Ленинградской области - 80 проц.</w:t>
      </w:r>
    </w:p>
    <w:p w:rsidR="00195B17" w:rsidRDefault="00195B17">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2. Доля публикуемых документов бюджетного процесса - 100 проц.</w:t>
      </w:r>
    </w:p>
    <w:p w:rsidR="00195B17" w:rsidRDefault="00195B17">
      <w:pPr>
        <w:pStyle w:val="ConsPlusNormal"/>
        <w:spacing w:before="220"/>
        <w:ind w:firstLine="540"/>
        <w:jc w:val="both"/>
      </w:pPr>
      <w:r>
        <w:t>3. Общее количество нормативных правовых актов, разработанных и утвержденных по итогам выполнения работ по методическому сопровождению мероприятий по повышению эффективности управления общественными финансами к 2024 году, - 18 ед.</w:t>
      </w:r>
    </w:p>
    <w:p w:rsidR="00195B17" w:rsidRDefault="00195B17">
      <w:pPr>
        <w:pStyle w:val="ConsPlusNormal"/>
        <w:jc w:val="both"/>
      </w:pPr>
      <w:r>
        <w:t xml:space="preserve">(п. 3 в ред. </w:t>
      </w:r>
      <w:hyperlink r:id="rId10" w:history="1">
        <w:r>
          <w:rPr>
            <w:color w:val="0000FF"/>
          </w:rPr>
          <w:t>Постановления</w:t>
        </w:r>
      </w:hyperlink>
      <w:r>
        <w:t xml:space="preserve"> Правительства Ленинградской области от 30.06.2021 N 415)</w:t>
      </w:r>
    </w:p>
    <w:p w:rsidR="00195B17" w:rsidRDefault="00195B17">
      <w:pPr>
        <w:pStyle w:val="ConsPlusNormal"/>
        <w:spacing w:before="220"/>
        <w:ind w:firstLine="540"/>
        <w:jc w:val="both"/>
      </w:pPr>
      <w:r>
        <w:t xml:space="preserve">4. Количество посещений (просмотров) </w:t>
      </w:r>
      <w:proofErr w:type="gramStart"/>
      <w:r>
        <w:t>интернет-портала</w:t>
      </w:r>
      <w:proofErr w:type="gramEnd"/>
      <w:r>
        <w:t xml:space="preserve"> "Открытый бюджет" Ленинградской области - не менее 5000 в месяц.</w:t>
      </w:r>
    </w:p>
    <w:p w:rsidR="00195B17" w:rsidRDefault="00195B17">
      <w:pPr>
        <w:pStyle w:val="ConsPlusNormal"/>
        <w:jc w:val="both"/>
      </w:pPr>
      <w:r>
        <w:t xml:space="preserve">(п. 4 в ред. </w:t>
      </w:r>
      <w:hyperlink r:id="rId11"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pPr>
    </w:p>
    <w:p w:rsidR="00195B17" w:rsidRDefault="00195B17">
      <w:pPr>
        <w:pStyle w:val="ConsPlusTitle"/>
        <w:jc w:val="center"/>
        <w:outlineLvl w:val="2"/>
      </w:pPr>
      <w:r>
        <w:t>2. Характеристика основных мероприятий подпрограммы</w:t>
      </w:r>
    </w:p>
    <w:p w:rsidR="00195B17" w:rsidRDefault="00195B17">
      <w:pPr>
        <w:pStyle w:val="ConsPlusTitle"/>
        <w:jc w:val="center"/>
      </w:pPr>
      <w:r>
        <w:t>и сведения об участии органов местного самоуправления,</w:t>
      </w:r>
    </w:p>
    <w:p w:rsidR="00195B17" w:rsidRDefault="00195B17">
      <w:pPr>
        <w:pStyle w:val="ConsPlusTitle"/>
        <w:jc w:val="center"/>
      </w:pPr>
      <w:r>
        <w:t>юридических и физических лиц</w:t>
      </w:r>
    </w:p>
    <w:p w:rsidR="00195B17" w:rsidRDefault="00195B17">
      <w:pPr>
        <w:pStyle w:val="ConsPlusNormal"/>
      </w:pPr>
    </w:p>
    <w:p w:rsidR="00195B17" w:rsidRDefault="00195B17">
      <w:pPr>
        <w:pStyle w:val="ConsPlusNormal"/>
        <w:ind w:firstLine="540"/>
        <w:jc w:val="both"/>
      </w:pPr>
      <w:r>
        <w:t>Основные мероприятия Подпрограммы:</w:t>
      </w:r>
    </w:p>
    <w:p w:rsidR="00195B17" w:rsidRDefault="00195B17">
      <w:pPr>
        <w:pStyle w:val="ConsPlusNormal"/>
      </w:pPr>
    </w:p>
    <w:p w:rsidR="00195B17" w:rsidRDefault="00195B17">
      <w:pPr>
        <w:pStyle w:val="ConsPlusTitle"/>
        <w:ind w:firstLine="540"/>
        <w:jc w:val="both"/>
        <w:outlineLvl w:val="3"/>
      </w:pPr>
      <w:r>
        <w:lastRenderedPageBreak/>
        <w:t>1. Повышение эффективности управления государственными финансами Ленинградской области</w:t>
      </w:r>
    </w:p>
    <w:p w:rsidR="00195B17" w:rsidRDefault="00195B17">
      <w:pPr>
        <w:pStyle w:val="ConsPlusNormal"/>
      </w:pPr>
    </w:p>
    <w:p w:rsidR="00195B17" w:rsidRDefault="00195B17">
      <w:pPr>
        <w:pStyle w:val="ConsPlusNormal"/>
        <w:ind w:firstLine="540"/>
        <w:jc w:val="both"/>
      </w:pPr>
      <w:r>
        <w:t>В рамках реализации мероприятия предусматриваются:</w:t>
      </w:r>
    </w:p>
    <w:p w:rsidR="00195B17" w:rsidRDefault="00195B17">
      <w:pPr>
        <w:pStyle w:val="ConsPlusNormal"/>
        <w:spacing w:before="220"/>
        <w:ind w:firstLine="540"/>
        <w:jc w:val="both"/>
      </w:pPr>
      <w:r>
        <w:t>- выполнение работ по методическому сопровождению мероприятий по повышению эффективности управления общественными финансами,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195B17" w:rsidRDefault="00195B17">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31.08.2020 N 607)</w:t>
      </w:r>
    </w:p>
    <w:p w:rsidR="00195B17" w:rsidRDefault="00195B17">
      <w:pPr>
        <w:pStyle w:val="ConsPlusNormal"/>
        <w:spacing w:before="220"/>
        <w:ind w:firstLine="540"/>
        <w:jc w:val="both"/>
      </w:pPr>
      <w:r>
        <w:t>- регулярный обмен лучшими практиками с федеральными и региональными органами государственной власти, а также некоммерческими организациями в сфере управления общественными финансами;</w:t>
      </w:r>
    </w:p>
    <w:p w:rsidR="00195B17" w:rsidRDefault="00195B17">
      <w:pPr>
        <w:pStyle w:val="ConsPlusNormal"/>
        <w:spacing w:before="220"/>
        <w:ind w:firstLine="540"/>
        <w:jc w:val="both"/>
      </w:pPr>
      <w:r>
        <w:t>- актуализация сведений на портале "Открытый бюджет" Ленинградской области в соответствии с требованиями федерального законодательства и методических рекомендаций.</w:t>
      </w:r>
    </w:p>
    <w:p w:rsidR="00195B17" w:rsidRDefault="00195B1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195B17" w:rsidRDefault="00195B17">
      <w:pPr>
        <w:pStyle w:val="ConsPlusNormal"/>
      </w:pPr>
    </w:p>
    <w:p w:rsidR="00195B17" w:rsidRDefault="00195B17">
      <w:pPr>
        <w:pStyle w:val="ConsPlusTitle"/>
        <w:ind w:firstLine="540"/>
        <w:jc w:val="both"/>
        <w:outlineLvl w:val="3"/>
      </w:pPr>
      <w:r>
        <w:t>2. Повышение прозрачности и открытости бюджетного процесса в Ленинградской области</w:t>
      </w:r>
    </w:p>
    <w:p w:rsidR="00195B17" w:rsidRDefault="00195B17">
      <w:pPr>
        <w:pStyle w:val="ConsPlusNormal"/>
      </w:pPr>
    </w:p>
    <w:p w:rsidR="00195B17" w:rsidRDefault="00195B17">
      <w:pPr>
        <w:pStyle w:val="ConsPlusNormal"/>
        <w:ind w:firstLine="540"/>
        <w:jc w:val="both"/>
      </w:pPr>
      <w:r>
        <w:t>В рамках реализации мероприятия предусматриваются:</w:t>
      </w:r>
    </w:p>
    <w:p w:rsidR="00195B17" w:rsidRDefault="00195B17">
      <w:pPr>
        <w:pStyle w:val="ConsPlusNormal"/>
        <w:spacing w:before="220"/>
        <w:ind w:firstLine="540"/>
        <w:jc w:val="both"/>
      </w:pPr>
      <w:r>
        <w:t>- информирование граждан о бюджетном процессе в Ленинградской области посредством размещения информации на портале "Открытый бюджет" Ленинградской области, издания брошюр и проведения иных мероприятий;</w:t>
      </w:r>
    </w:p>
    <w:p w:rsidR="00195B17" w:rsidRDefault="00195B17">
      <w:pPr>
        <w:pStyle w:val="ConsPlusNormal"/>
        <w:spacing w:before="220"/>
        <w:ind w:firstLine="540"/>
        <w:jc w:val="both"/>
      </w:pPr>
      <w:r>
        <w:t>- мероприятия по обеспечению публичности бюджета Ленинградской области, в том числе публикация открытых данных и документов для обеспечения публичности бюджета Ленинградской области в соответствии с федеральными и международными рекомендациями;</w:t>
      </w:r>
    </w:p>
    <w:p w:rsidR="00195B17" w:rsidRDefault="00195B17">
      <w:pPr>
        <w:pStyle w:val="ConsPlusNormal"/>
        <w:spacing w:before="220"/>
        <w:ind w:firstLine="540"/>
        <w:jc w:val="both"/>
      </w:pPr>
      <w:r>
        <w:t>- развитие портала "Открытый бюджет" Ленинградской области в целях включения расширенного состава инструментов информирования и участия граждан;</w:t>
      </w:r>
    </w:p>
    <w:p w:rsidR="00195B17" w:rsidRDefault="00195B17">
      <w:pPr>
        <w:pStyle w:val="ConsPlusNormal"/>
        <w:spacing w:before="220"/>
        <w:ind w:firstLine="540"/>
        <w:jc w:val="both"/>
      </w:pPr>
      <w:r>
        <w:t>- реализация интерактивных инструментов для помощи и информирования населения по различным аспектам бюджетно-финансовой системы Ленинградской области;</w:t>
      </w:r>
    </w:p>
    <w:p w:rsidR="00195B17" w:rsidRDefault="00195B17">
      <w:pPr>
        <w:pStyle w:val="ConsPlusNormal"/>
        <w:spacing w:before="220"/>
        <w:ind w:firstLine="540"/>
        <w:jc w:val="both"/>
      </w:pPr>
      <w:r>
        <w:t>- достижение высоких позиций в рейтингах эффективности управления общественными финансами и открытости бюджетных данных.</w:t>
      </w:r>
    </w:p>
    <w:p w:rsidR="00195B17" w:rsidRDefault="00195B17">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195B17" w:rsidRDefault="00195B17">
      <w:pPr>
        <w:pStyle w:val="ConsPlusNormal"/>
      </w:pPr>
    </w:p>
    <w:p w:rsidR="00195B17" w:rsidRDefault="00195B17">
      <w:pPr>
        <w:pStyle w:val="ConsPlusNormal"/>
      </w:pPr>
    </w:p>
    <w:sectPr w:rsidR="00195B17" w:rsidSect="007751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17"/>
    <w:rsid w:val="00195B17"/>
    <w:rsid w:val="00604FFC"/>
    <w:rsid w:val="0077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B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B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97598F29562FD8E73AB8B4074B6DC7432076BFBFFFB3A91CBC168A55DC5CC4C5053885081E71E8A03CC349C9C25D2BB13BB53A51E1E4Dx5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697598F29562FD8E73AB8B4074B6DC7435036FF7FAFB3A91CBC168A55DC5CC4C5053885081E7108003CC349C9C25D2BB13BB53A51E1E4Dx5TEM" TargetMode="External"/><Relationship Id="rId12" Type="http://schemas.openxmlformats.org/officeDocument/2006/relationships/hyperlink" Target="consultantplus://offline/ref=76697598F29562FD8E73AB8B4074B6DC7435036FF7FAFB3A91CBC168A55DC5CC4C5053885081E7118A03CC349C9C25D2BB13BB53A51E1E4Dx5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697598F29562FD8E73AB8B4074B6DC7434026AFAFCFB3A91CBC168A55DC5CC4C5053885081E7108B03CC349C9C25D2BB13BB53A51E1E4Dx5TEM" TargetMode="External"/><Relationship Id="rId11" Type="http://schemas.openxmlformats.org/officeDocument/2006/relationships/hyperlink" Target="consultantplus://offline/ref=76697598F29562FD8E73AB8B4074B6DC7434026AFAFCFB3A91CBC168A55DC5CC4C5053885081E7108D03CC349C9C25D2BB13BB53A51E1E4Dx5TEM" TargetMode="External"/><Relationship Id="rId5" Type="http://schemas.openxmlformats.org/officeDocument/2006/relationships/hyperlink" Target="consultantplus://offline/ref=76697598F29562FD8E73AB8B4074B6DC7435006FF8F8FB3A91CBC168A55DC5CC4C5053885081E71E8003CC349C9C25D2BB13BB53A51E1E4Dx5TEM" TargetMode="External"/><Relationship Id="rId10" Type="http://schemas.openxmlformats.org/officeDocument/2006/relationships/hyperlink" Target="consultantplus://offline/ref=76697598F29562FD8E73AB8B4074B6DC7432076BFBFFFB3A91CBC168A55DC5CC4C5053885081E71E8F03CC349C9C25D2BB13BB53A51E1E4Dx5TEM" TargetMode="External"/><Relationship Id="rId4" Type="http://schemas.openxmlformats.org/officeDocument/2006/relationships/webSettings" Target="webSettings.xml"/><Relationship Id="rId9" Type="http://schemas.openxmlformats.org/officeDocument/2006/relationships/hyperlink" Target="consultantplus://offline/ref=76697598F29562FD8E73AB8B4074B6DC7432076BFBFFFB3A91CBC168A55DC5CC4C5053885081E71E8E03CC349C9C25D2BB13BB53A51E1E4Dx5T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Викторовна</dc:creator>
  <cp:lastModifiedBy>Ильина Юлия Викторовна</cp:lastModifiedBy>
  <cp:revision>2</cp:revision>
  <dcterms:created xsi:type="dcterms:W3CDTF">2021-08-03T13:40:00Z</dcterms:created>
  <dcterms:modified xsi:type="dcterms:W3CDTF">2021-08-03T13:40:00Z</dcterms:modified>
</cp:coreProperties>
</file>