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A6C" w:rsidRDefault="00605A6C" w:rsidP="00605A6C">
      <w:pPr>
        <w:pStyle w:val="ConsPlusTitle"/>
        <w:jc w:val="center"/>
        <w:outlineLvl w:val="1"/>
      </w:pPr>
      <w:r>
        <w:t>Подпрограмма 1</w:t>
      </w:r>
    </w:p>
    <w:p w:rsidR="00605A6C" w:rsidRDefault="00605A6C" w:rsidP="00605A6C">
      <w:pPr>
        <w:pStyle w:val="ConsPlusTitle"/>
        <w:jc w:val="center"/>
      </w:pPr>
      <w:r>
        <w:t xml:space="preserve">"Создание условий для </w:t>
      </w:r>
      <w:proofErr w:type="gramStart"/>
      <w:r>
        <w:t>эффективного</w:t>
      </w:r>
      <w:proofErr w:type="gramEnd"/>
      <w:r>
        <w:t xml:space="preserve"> и ответственного</w:t>
      </w:r>
    </w:p>
    <w:p w:rsidR="00605A6C" w:rsidRDefault="00605A6C" w:rsidP="00605A6C">
      <w:pPr>
        <w:pStyle w:val="ConsPlusTitle"/>
        <w:jc w:val="center"/>
      </w:pPr>
      <w:r>
        <w:t>управления муниципальными финансами, повышения устойчивости</w:t>
      </w:r>
    </w:p>
    <w:p w:rsidR="00605A6C" w:rsidRDefault="00605A6C" w:rsidP="00605A6C">
      <w:pPr>
        <w:pStyle w:val="ConsPlusTitle"/>
        <w:jc w:val="center"/>
      </w:pPr>
      <w:r>
        <w:t>бюджетов муниципальных образований Ленинградской области"</w:t>
      </w:r>
    </w:p>
    <w:p w:rsidR="00605A6C" w:rsidRDefault="00605A6C" w:rsidP="00605A6C">
      <w:pPr>
        <w:pStyle w:val="ConsPlusNormal"/>
      </w:pPr>
    </w:p>
    <w:p w:rsidR="00605A6C" w:rsidRDefault="00605A6C" w:rsidP="00605A6C">
      <w:pPr>
        <w:pStyle w:val="ConsPlusTitle"/>
        <w:jc w:val="center"/>
        <w:outlineLvl w:val="2"/>
      </w:pPr>
      <w:r>
        <w:t>ПАСПОРТ</w:t>
      </w:r>
    </w:p>
    <w:p w:rsidR="00605A6C" w:rsidRDefault="00605A6C" w:rsidP="00605A6C">
      <w:pPr>
        <w:pStyle w:val="ConsPlusTitle"/>
        <w:jc w:val="center"/>
      </w:pPr>
      <w:r>
        <w:t xml:space="preserve">подпрограммы "Создание условий для </w:t>
      </w:r>
      <w:proofErr w:type="gramStart"/>
      <w:r>
        <w:t>эффективного</w:t>
      </w:r>
      <w:proofErr w:type="gramEnd"/>
    </w:p>
    <w:p w:rsidR="00605A6C" w:rsidRDefault="00605A6C" w:rsidP="00605A6C">
      <w:pPr>
        <w:pStyle w:val="ConsPlusTitle"/>
        <w:jc w:val="center"/>
      </w:pPr>
      <w:r>
        <w:t>и ответственного управления муниципальными финансами,</w:t>
      </w:r>
    </w:p>
    <w:p w:rsidR="00605A6C" w:rsidRDefault="00605A6C" w:rsidP="00605A6C">
      <w:pPr>
        <w:pStyle w:val="ConsPlusTitle"/>
        <w:jc w:val="center"/>
      </w:pPr>
      <w:r>
        <w:t>повышения устойчивости бюджетов муниципальных образований</w:t>
      </w:r>
    </w:p>
    <w:p w:rsidR="00605A6C" w:rsidRDefault="00605A6C" w:rsidP="00605A6C">
      <w:pPr>
        <w:pStyle w:val="ConsPlusTitle"/>
        <w:jc w:val="center"/>
      </w:pPr>
      <w:r>
        <w:t>Ленинградской области"</w:t>
      </w:r>
    </w:p>
    <w:p w:rsidR="00605A6C" w:rsidRDefault="00605A6C" w:rsidP="00605A6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605A6C" w:rsidTr="00DD5D41">
        <w:tc>
          <w:tcPr>
            <w:tcW w:w="2041" w:type="dxa"/>
          </w:tcPr>
          <w:p w:rsidR="00605A6C" w:rsidRDefault="00605A6C" w:rsidP="00DD5D41">
            <w:pPr>
              <w:pStyle w:val="ConsPlusNormal"/>
            </w:pPr>
            <w:r>
              <w:t>Полное наименование</w:t>
            </w:r>
          </w:p>
        </w:tc>
        <w:tc>
          <w:tcPr>
            <w:tcW w:w="7030" w:type="dxa"/>
          </w:tcPr>
          <w:p w:rsidR="00605A6C" w:rsidRDefault="00605A6C" w:rsidP="00DD5D41">
            <w:pPr>
              <w:pStyle w:val="ConsPlusNormal"/>
              <w:ind w:firstLine="283"/>
              <w:jc w:val="both"/>
            </w:pPr>
            <w: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 (далее - Подпрограмма)</w:t>
            </w:r>
          </w:p>
        </w:tc>
      </w:tr>
      <w:tr w:rsidR="00605A6C" w:rsidTr="00DD5D41">
        <w:tc>
          <w:tcPr>
            <w:tcW w:w="2041" w:type="dxa"/>
          </w:tcPr>
          <w:p w:rsidR="00605A6C" w:rsidRDefault="00605A6C" w:rsidP="00DD5D41">
            <w:pPr>
              <w:pStyle w:val="ConsPlusNormal"/>
            </w:pPr>
            <w:r>
              <w:t>Ответственный исполнитель подпрограммы</w:t>
            </w:r>
          </w:p>
        </w:tc>
        <w:tc>
          <w:tcPr>
            <w:tcW w:w="7030" w:type="dxa"/>
          </w:tcPr>
          <w:p w:rsidR="00605A6C" w:rsidRDefault="00605A6C" w:rsidP="00DD5D41">
            <w:pPr>
              <w:pStyle w:val="ConsPlusNormal"/>
              <w:ind w:firstLine="283"/>
              <w:jc w:val="both"/>
            </w:pPr>
            <w:r>
              <w:t>Комитет финансов Ленинградской области</w:t>
            </w:r>
          </w:p>
        </w:tc>
      </w:tr>
      <w:tr w:rsidR="00605A6C" w:rsidTr="00DD5D41">
        <w:tc>
          <w:tcPr>
            <w:tcW w:w="2041" w:type="dxa"/>
          </w:tcPr>
          <w:p w:rsidR="00605A6C" w:rsidRDefault="00605A6C" w:rsidP="00DD5D41">
            <w:pPr>
              <w:pStyle w:val="ConsPlusNormal"/>
            </w:pPr>
            <w:r>
              <w:t>Участники подпрограммы</w:t>
            </w:r>
          </w:p>
        </w:tc>
        <w:tc>
          <w:tcPr>
            <w:tcW w:w="7030" w:type="dxa"/>
          </w:tcPr>
          <w:p w:rsidR="00605A6C" w:rsidRDefault="00605A6C" w:rsidP="00DD5D41">
            <w:pPr>
              <w:pStyle w:val="ConsPlusNormal"/>
              <w:ind w:firstLine="283"/>
              <w:jc w:val="both"/>
            </w:pPr>
            <w:r>
              <w:t>Комитет финансов Ленинградской области</w:t>
            </w:r>
          </w:p>
        </w:tc>
      </w:tr>
      <w:tr w:rsidR="00605A6C" w:rsidTr="00DD5D41">
        <w:tc>
          <w:tcPr>
            <w:tcW w:w="2041" w:type="dxa"/>
          </w:tcPr>
          <w:p w:rsidR="00605A6C" w:rsidRDefault="00605A6C" w:rsidP="00DD5D41">
            <w:pPr>
              <w:pStyle w:val="ConsPlusNormal"/>
            </w:pPr>
            <w:r>
              <w:t>Цель подпрограммы</w:t>
            </w:r>
          </w:p>
        </w:tc>
        <w:tc>
          <w:tcPr>
            <w:tcW w:w="7030" w:type="dxa"/>
          </w:tcPr>
          <w:p w:rsidR="00605A6C" w:rsidRDefault="00605A6C" w:rsidP="00DD5D41">
            <w:pPr>
              <w:pStyle w:val="ConsPlusNormal"/>
              <w:ind w:firstLine="283"/>
              <w:jc w:val="both"/>
            </w:pPr>
            <w:r>
              <w:t>Обеспечение условий для устойчивого исполнения расходных обязательств муниципальных образований Ленинградской области и повышение качества управления муниципальными финансами</w:t>
            </w:r>
          </w:p>
        </w:tc>
      </w:tr>
      <w:tr w:rsidR="00605A6C" w:rsidTr="00DD5D41">
        <w:tc>
          <w:tcPr>
            <w:tcW w:w="2041" w:type="dxa"/>
          </w:tcPr>
          <w:p w:rsidR="00605A6C" w:rsidRDefault="00605A6C" w:rsidP="00DD5D41">
            <w:pPr>
              <w:pStyle w:val="ConsPlusNormal"/>
            </w:pPr>
            <w:r>
              <w:t>Задачи подпрограммы</w:t>
            </w:r>
          </w:p>
        </w:tc>
        <w:tc>
          <w:tcPr>
            <w:tcW w:w="7030" w:type="dxa"/>
          </w:tcPr>
          <w:p w:rsidR="00605A6C" w:rsidRDefault="00605A6C" w:rsidP="00DD5D41">
            <w:pPr>
              <w:pStyle w:val="ConsPlusNormal"/>
              <w:ind w:firstLine="283"/>
              <w:jc w:val="both"/>
            </w:pPr>
            <w:r>
              <w:t>1. Совершенствование системы межбюджетных отношений в Ленинградской области.</w:t>
            </w:r>
          </w:p>
          <w:p w:rsidR="00605A6C" w:rsidRDefault="00605A6C" w:rsidP="00DD5D41">
            <w:pPr>
              <w:pStyle w:val="ConsPlusNormal"/>
              <w:ind w:firstLine="283"/>
              <w:jc w:val="both"/>
            </w:pPr>
            <w:r>
              <w:t>2. Сокращение дифференциации в уровне бюджетной обеспеченности муниципальных образований Ленинградской области.</w:t>
            </w:r>
          </w:p>
          <w:p w:rsidR="00605A6C" w:rsidRDefault="00605A6C" w:rsidP="00DD5D41">
            <w:pPr>
              <w:pStyle w:val="ConsPlusNormal"/>
              <w:ind w:firstLine="283"/>
              <w:jc w:val="both"/>
            </w:pPr>
            <w:r>
              <w:t>3. Обеспечение устойчивого исполнения бюджетов муниципальных образований Ленинградской области.</w:t>
            </w:r>
          </w:p>
          <w:p w:rsidR="00605A6C" w:rsidRDefault="00605A6C" w:rsidP="00DD5D41">
            <w:pPr>
              <w:pStyle w:val="ConsPlusNormal"/>
              <w:ind w:firstLine="283"/>
              <w:jc w:val="both"/>
            </w:pPr>
            <w:r>
              <w:t>4. Повышение качества управления муниципальными финансами</w:t>
            </w:r>
          </w:p>
        </w:tc>
      </w:tr>
      <w:tr w:rsidR="00605A6C" w:rsidTr="00DD5D41">
        <w:tc>
          <w:tcPr>
            <w:tcW w:w="2041" w:type="dxa"/>
          </w:tcPr>
          <w:p w:rsidR="00605A6C" w:rsidRDefault="00605A6C" w:rsidP="00DD5D41">
            <w:pPr>
              <w:pStyle w:val="ConsPlusNormal"/>
            </w:pPr>
            <w:r>
              <w:t>Сроки реализации подпрограммы</w:t>
            </w:r>
          </w:p>
        </w:tc>
        <w:tc>
          <w:tcPr>
            <w:tcW w:w="7030" w:type="dxa"/>
          </w:tcPr>
          <w:p w:rsidR="00605A6C" w:rsidRDefault="00605A6C" w:rsidP="00DD5D41">
            <w:pPr>
              <w:pStyle w:val="ConsPlusNormal"/>
              <w:ind w:firstLine="283"/>
              <w:jc w:val="both"/>
            </w:pPr>
            <w:r>
              <w:t xml:space="preserve">2018-2024 годы </w:t>
            </w:r>
            <w:hyperlink w:anchor="P233" w:history="1">
              <w:r>
                <w:rPr>
                  <w:color w:val="0000FF"/>
                </w:rPr>
                <w:t>&lt;2&gt;</w:t>
              </w:r>
            </w:hyperlink>
          </w:p>
        </w:tc>
      </w:tr>
      <w:tr w:rsidR="00605A6C" w:rsidTr="00DD5D41">
        <w:tblPrEx>
          <w:tblBorders>
            <w:insideH w:val="nil"/>
          </w:tblBorders>
        </w:tblPrEx>
        <w:tc>
          <w:tcPr>
            <w:tcW w:w="2041" w:type="dxa"/>
            <w:tcBorders>
              <w:bottom w:val="nil"/>
            </w:tcBorders>
          </w:tcPr>
          <w:p w:rsidR="00605A6C" w:rsidRDefault="00605A6C" w:rsidP="00DD5D41">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605A6C" w:rsidRDefault="00605A6C" w:rsidP="00DD5D41">
            <w:pPr>
              <w:pStyle w:val="ConsPlusNormal"/>
              <w:ind w:firstLine="283"/>
              <w:jc w:val="both"/>
            </w:pPr>
            <w:r>
              <w:t>Общий объем финансирования подпрограммы с учетом расчетных объемов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 составляет 57068286,2 тыс. рублей, в том числе:</w:t>
            </w:r>
          </w:p>
          <w:p w:rsidR="00605A6C" w:rsidRDefault="00605A6C" w:rsidP="00DD5D41">
            <w:pPr>
              <w:pStyle w:val="ConsPlusNormal"/>
              <w:ind w:firstLine="283"/>
              <w:jc w:val="both"/>
            </w:pPr>
            <w:r>
              <w:t>2018 год - 3018041,9 тыс. рублей;</w:t>
            </w:r>
          </w:p>
          <w:p w:rsidR="00605A6C" w:rsidRDefault="00605A6C" w:rsidP="00DD5D41">
            <w:pPr>
              <w:pStyle w:val="ConsPlusNormal"/>
              <w:ind w:firstLine="283"/>
              <w:jc w:val="both"/>
            </w:pPr>
            <w:r>
              <w:t>2019 год - 3460958,6 тыс. рублей;</w:t>
            </w:r>
          </w:p>
          <w:p w:rsidR="00605A6C" w:rsidRDefault="00605A6C" w:rsidP="00DD5D41">
            <w:pPr>
              <w:pStyle w:val="ConsPlusNormal"/>
              <w:ind w:firstLine="283"/>
              <w:jc w:val="both"/>
            </w:pPr>
            <w:r>
              <w:t>2020 год - 9404837,8 тыс. рублей;</w:t>
            </w:r>
          </w:p>
          <w:p w:rsidR="00605A6C" w:rsidRDefault="00605A6C" w:rsidP="00DD5D41">
            <w:pPr>
              <w:pStyle w:val="ConsPlusNormal"/>
              <w:ind w:firstLine="283"/>
              <w:jc w:val="both"/>
            </w:pPr>
            <w:r>
              <w:t>2021 год - 9920217,4 тыс. рублей;</w:t>
            </w:r>
          </w:p>
          <w:p w:rsidR="00605A6C" w:rsidRDefault="00605A6C" w:rsidP="00DD5D41">
            <w:pPr>
              <w:pStyle w:val="ConsPlusNormal"/>
              <w:ind w:firstLine="283"/>
              <w:jc w:val="both"/>
            </w:pPr>
            <w:r>
              <w:t>2022 год - 10275237,1 тыс. рублей;</w:t>
            </w:r>
          </w:p>
          <w:p w:rsidR="00605A6C" w:rsidRDefault="00605A6C" w:rsidP="00DD5D41">
            <w:pPr>
              <w:pStyle w:val="ConsPlusNormal"/>
              <w:ind w:firstLine="283"/>
              <w:jc w:val="both"/>
            </w:pPr>
            <w:r>
              <w:t>2023 год - 10299624,2 тыс. рублей;</w:t>
            </w:r>
          </w:p>
          <w:p w:rsidR="00605A6C" w:rsidRDefault="00605A6C" w:rsidP="00DD5D41">
            <w:pPr>
              <w:pStyle w:val="ConsPlusNormal"/>
              <w:ind w:firstLine="283"/>
              <w:jc w:val="both"/>
            </w:pPr>
            <w:r>
              <w:t>2024 год - 10689369,2 тыс. рублей.</w:t>
            </w:r>
          </w:p>
          <w:p w:rsidR="00605A6C" w:rsidRDefault="00605A6C" w:rsidP="00DD5D41">
            <w:pPr>
              <w:pStyle w:val="ConsPlusNormal"/>
              <w:ind w:firstLine="283"/>
              <w:jc w:val="both"/>
            </w:pPr>
            <w:r>
              <w:t xml:space="preserve">Общий объем финансирования подпрограммы без учета расчетных объемов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w:t>
            </w:r>
            <w:r>
              <w:lastRenderedPageBreak/>
              <w:t>доходы физических лиц, составляет 32081678,9 тыс. рублей, в том числе:</w:t>
            </w:r>
          </w:p>
          <w:p w:rsidR="00605A6C" w:rsidRDefault="00605A6C" w:rsidP="00DD5D41">
            <w:pPr>
              <w:pStyle w:val="ConsPlusNormal"/>
              <w:ind w:firstLine="283"/>
              <w:jc w:val="both"/>
            </w:pPr>
            <w:r>
              <w:t>2018 год - 3018041,9 тыс. рублей;</w:t>
            </w:r>
          </w:p>
          <w:p w:rsidR="00605A6C" w:rsidRDefault="00605A6C" w:rsidP="00DD5D41">
            <w:pPr>
              <w:pStyle w:val="ConsPlusNormal"/>
              <w:ind w:firstLine="283"/>
              <w:jc w:val="both"/>
            </w:pPr>
            <w:r>
              <w:t>2019 год - 3460958,6 тыс. рублей;</w:t>
            </w:r>
          </w:p>
          <w:p w:rsidR="00605A6C" w:rsidRDefault="00605A6C" w:rsidP="00DD5D41">
            <w:pPr>
              <w:pStyle w:val="ConsPlusNormal"/>
              <w:ind w:firstLine="283"/>
              <w:jc w:val="both"/>
            </w:pPr>
            <w:r>
              <w:t>2020 год - 4427081,2 тыс. рублей;</w:t>
            </w:r>
          </w:p>
          <w:p w:rsidR="00605A6C" w:rsidRDefault="00605A6C" w:rsidP="00DD5D41">
            <w:pPr>
              <w:pStyle w:val="ConsPlusNormal"/>
              <w:ind w:firstLine="283"/>
              <w:jc w:val="both"/>
            </w:pPr>
            <w:r>
              <w:t>2021 год - 5349568,0 тыс. рублей;</w:t>
            </w:r>
          </w:p>
          <w:p w:rsidR="00605A6C" w:rsidRDefault="00605A6C" w:rsidP="00DD5D41">
            <w:pPr>
              <w:pStyle w:val="ConsPlusNormal"/>
              <w:ind w:firstLine="283"/>
              <w:jc w:val="both"/>
            </w:pPr>
            <w:r>
              <w:t>2022 год - 5417971,5 тыс. рублей;</w:t>
            </w:r>
          </w:p>
          <w:p w:rsidR="00605A6C" w:rsidRDefault="00605A6C" w:rsidP="00DD5D41">
            <w:pPr>
              <w:pStyle w:val="ConsPlusNormal"/>
              <w:ind w:firstLine="283"/>
              <w:jc w:val="both"/>
            </w:pPr>
            <w:r>
              <w:t>2023 год - 5112891,0 тыс. рублей;</w:t>
            </w:r>
          </w:p>
          <w:p w:rsidR="00605A6C" w:rsidRDefault="00605A6C" w:rsidP="00DD5D41">
            <w:pPr>
              <w:pStyle w:val="ConsPlusNormal"/>
              <w:ind w:firstLine="283"/>
              <w:jc w:val="both"/>
            </w:pPr>
            <w:r>
              <w:t>2024 год - 5295166,7 тыс. рублей.</w:t>
            </w:r>
          </w:p>
          <w:p w:rsidR="00605A6C" w:rsidRDefault="00605A6C" w:rsidP="00DD5D41">
            <w:pPr>
              <w:pStyle w:val="ConsPlusNormal"/>
              <w:ind w:firstLine="283"/>
              <w:jc w:val="both"/>
            </w:pPr>
            <w:r>
              <w:t>Расчетные объемы дотаций на выравнивание бюджетной обеспеченности муниципальных районов (городских округов), замененные дополнительными нормативами отчислений от налога на доходы физических лиц, составляют 24986607,3 тыс. рублей, в том числе:</w:t>
            </w:r>
          </w:p>
          <w:p w:rsidR="00605A6C" w:rsidRDefault="00605A6C" w:rsidP="00DD5D41">
            <w:pPr>
              <w:pStyle w:val="ConsPlusNormal"/>
              <w:ind w:firstLine="283"/>
              <w:jc w:val="both"/>
            </w:pPr>
            <w:r>
              <w:t>2020 год - 4977756,6 тыс. рублей;</w:t>
            </w:r>
          </w:p>
          <w:p w:rsidR="00605A6C" w:rsidRDefault="00605A6C" w:rsidP="00DD5D41">
            <w:pPr>
              <w:pStyle w:val="ConsPlusNormal"/>
              <w:ind w:firstLine="283"/>
              <w:jc w:val="both"/>
            </w:pPr>
            <w:r>
              <w:t>2021 год - 4570649,4 тыс. рублей;</w:t>
            </w:r>
          </w:p>
          <w:p w:rsidR="00605A6C" w:rsidRDefault="00605A6C" w:rsidP="00DD5D41">
            <w:pPr>
              <w:pStyle w:val="ConsPlusNormal"/>
              <w:ind w:firstLine="283"/>
              <w:jc w:val="both"/>
            </w:pPr>
            <w:r>
              <w:t>2022 год - 4857265,6 тыс. рублей;</w:t>
            </w:r>
          </w:p>
          <w:p w:rsidR="00605A6C" w:rsidRDefault="00605A6C" w:rsidP="00DD5D41">
            <w:pPr>
              <w:pStyle w:val="ConsPlusNormal"/>
              <w:ind w:firstLine="283"/>
              <w:jc w:val="both"/>
            </w:pPr>
            <w:r>
              <w:t>2023 год - 5186733,2 тыс. рублей;</w:t>
            </w:r>
          </w:p>
          <w:p w:rsidR="00605A6C" w:rsidRDefault="00605A6C" w:rsidP="00DD5D41">
            <w:pPr>
              <w:pStyle w:val="ConsPlusNormal"/>
              <w:ind w:firstLine="283"/>
              <w:jc w:val="both"/>
            </w:pPr>
            <w:r>
              <w:t>2024 год - 5394202,5 тыс. рублей</w:t>
            </w:r>
          </w:p>
        </w:tc>
      </w:tr>
      <w:tr w:rsidR="00605A6C" w:rsidTr="00DD5D41">
        <w:tblPrEx>
          <w:tblBorders>
            <w:insideH w:val="nil"/>
          </w:tblBorders>
        </w:tblPrEx>
        <w:tc>
          <w:tcPr>
            <w:tcW w:w="9071" w:type="dxa"/>
            <w:gridSpan w:val="2"/>
            <w:tcBorders>
              <w:top w:val="nil"/>
            </w:tcBorders>
          </w:tcPr>
          <w:p w:rsidR="00605A6C" w:rsidRDefault="00605A6C" w:rsidP="00DD5D41">
            <w:pPr>
              <w:pStyle w:val="ConsPlusNormal"/>
              <w:jc w:val="both"/>
            </w:pPr>
            <w:r>
              <w:lastRenderedPageBreak/>
              <w:t xml:space="preserve">(в ред. </w:t>
            </w:r>
            <w:hyperlink r:id="rId5" w:history="1">
              <w:r>
                <w:rPr>
                  <w:color w:val="0000FF"/>
                </w:rPr>
                <w:t>Постановления</w:t>
              </w:r>
            </w:hyperlink>
            <w:r>
              <w:t xml:space="preserve"> Правительства Ленинградской области от 10.11.2020 N 732)</w:t>
            </w:r>
          </w:p>
        </w:tc>
      </w:tr>
      <w:tr w:rsidR="00605A6C" w:rsidTr="00DD5D41">
        <w:tblPrEx>
          <w:tblBorders>
            <w:insideH w:val="nil"/>
          </w:tblBorders>
        </w:tblPrEx>
        <w:tc>
          <w:tcPr>
            <w:tcW w:w="2041" w:type="dxa"/>
            <w:tcBorders>
              <w:bottom w:val="nil"/>
            </w:tcBorders>
          </w:tcPr>
          <w:p w:rsidR="00605A6C" w:rsidRDefault="00605A6C" w:rsidP="00DD5D41">
            <w:pPr>
              <w:pStyle w:val="ConsPlusNormal"/>
            </w:pPr>
            <w:r>
              <w:t>Ожидаемые результаты реализации подпрограммы</w:t>
            </w:r>
          </w:p>
        </w:tc>
        <w:tc>
          <w:tcPr>
            <w:tcW w:w="7030" w:type="dxa"/>
            <w:tcBorders>
              <w:bottom w:val="nil"/>
            </w:tcBorders>
          </w:tcPr>
          <w:p w:rsidR="00605A6C" w:rsidRDefault="00605A6C" w:rsidP="00DD5D41">
            <w:pPr>
              <w:pStyle w:val="ConsPlusNormal"/>
              <w:ind w:firstLine="283"/>
              <w:jc w:val="both"/>
            </w:pPr>
            <w:r>
              <w:t xml:space="preserve">1. </w:t>
            </w:r>
            <w:proofErr w:type="gramStart"/>
            <w:r>
              <w:t>Сохранение доли муниципальных образований Ленинградской области, в бюджетах которых доля дотаций из других бюджетов бюджетной системы Российской Федерации превышает 50 проц. объема доходов местных бюджетов,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от общего количества муниципальных образований Ленинградской области на уровне</w:t>
            </w:r>
            <w:proofErr w:type="gramEnd"/>
            <w:r>
              <w:t xml:space="preserve"> 0,5 проц.</w:t>
            </w:r>
          </w:p>
          <w:p w:rsidR="00605A6C" w:rsidRDefault="00605A6C" w:rsidP="00DD5D41">
            <w:pPr>
              <w:pStyle w:val="ConsPlusNormal"/>
              <w:ind w:firstLine="283"/>
              <w:jc w:val="both"/>
            </w:pPr>
            <w:r>
              <w:t>2. Рост расчетной бюджетной обеспеченности по двум наименее обеспеченным муниципальным районам Ленинградской области (к уровню 2012 года) - до 208 проц.</w:t>
            </w:r>
          </w:p>
          <w:p w:rsidR="00605A6C" w:rsidRDefault="00605A6C" w:rsidP="00DD5D41">
            <w:pPr>
              <w:pStyle w:val="ConsPlusNormal"/>
              <w:ind w:firstLine="283"/>
              <w:jc w:val="both"/>
            </w:pPr>
            <w:r>
              <w:t>3. Снижение доли просроченной кредиторской задолженности в расходах консолидированных бюджетов муниципальных образований Ленинградской области - до 0,02 проц.</w:t>
            </w:r>
          </w:p>
          <w:p w:rsidR="00605A6C" w:rsidRDefault="00605A6C" w:rsidP="00DD5D41">
            <w:pPr>
              <w:pStyle w:val="ConsPlusNormal"/>
              <w:ind w:firstLine="283"/>
              <w:jc w:val="both"/>
            </w:pPr>
            <w:r>
              <w:t>4. Достижение доли расходов бюджетов муниципальных образований Ленинградской области, формируемых в рамках муниципальных программ, на уровне 90 проц.</w:t>
            </w:r>
          </w:p>
        </w:tc>
      </w:tr>
      <w:tr w:rsidR="00605A6C" w:rsidTr="00DD5D41">
        <w:tblPrEx>
          <w:tblBorders>
            <w:insideH w:val="nil"/>
          </w:tblBorders>
        </w:tblPrEx>
        <w:tc>
          <w:tcPr>
            <w:tcW w:w="9071" w:type="dxa"/>
            <w:gridSpan w:val="2"/>
            <w:tcBorders>
              <w:top w:val="nil"/>
            </w:tcBorders>
          </w:tcPr>
          <w:p w:rsidR="00605A6C" w:rsidRDefault="00605A6C" w:rsidP="00DD5D41">
            <w:pPr>
              <w:pStyle w:val="ConsPlusNormal"/>
              <w:jc w:val="both"/>
            </w:pPr>
            <w:r>
              <w:t xml:space="preserve">(в ред. </w:t>
            </w:r>
            <w:hyperlink r:id="rId6" w:history="1">
              <w:r>
                <w:rPr>
                  <w:color w:val="0000FF"/>
                </w:rPr>
                <w:t>Постановления</w:t>
              </w:r>
            </w:hyperlink>
            <w:r>
              <w:t xml:space="preserve"> Правительства Ленинградской области от 27.12.2019 N 627)</w:t>
            </w:r>
          </w:p>
        </w:tc>
      </w:tr>
    </w:tbl>
    <w:p w:rsidR="00605A6C" w:rsidRDefault="00605A6C" w:rsidP="00605A6C">
      <w:pPr>
        <w:pStyle w:val="ConsPlusNormal"/>
      </w:pPr>
    </w:p>
    <w:p w:rsidR="00605A6C" w:rsidRDefault="00605A6C" w:rsidP="00605A6C">
      <w:pPr>
        <w:pStyle w:val="ConsPlusNormal"/>
        <w:ind w:firstLine="540"/>
        <w:jc w:val="both"/>
      </w:pPr>
      <w:r>
        <w:t>--------------------------------</w:t>
      </w:r>
    </w:p>
    <w:p w:rsidR="00605A6C" w:rsidRDefault="00605A6C" w:rsidP="00605A6C">
      <w:pPr>
        <w:pStyle w:val="ConsPlusNormal"/>
        <w:spacing w:before="220"/>
        <w:ind w:firstLine="540"/>
        <w:jc w:val="both"/>
      </w:pPr>
      <w:bookmarkStart w:id="0" w:name="P233"/>
      <w:bookmarkEnd w:id="0"/>
      <w:r>
        <w:t>&lt;2&gt; Срок начала реализации подпрограммы 1 Государственной программы - 1 января 2014 года (см. Постановление Правительства Ленинградской области от 14.11.2013 N 402 в предыдущей редакции).</w:t>
      </w:r>
    </w:p>
    <w:p w:rsidR="00605A6C" w:rsidRDefault="00605A6C" w:rsidP="00605A6C">
      <w:pPr>
        <w:pStyle w:val="ConsPlusNormal"/>
      </w:pPr>
    </w:p>
    <w:p w:rsidR="00605A6C" w:rsidRDefault="00605A6C" w:rsidP="00605A6C">
      <w:pPr>
        <w:pStyle w:val="ConsPlusTitle"/>
        <w:jc w:val="center"/>
        <w:outlineLvl w:val="2"/>
      </w:pPr>
      <w:r>
        <w:t>1. Обоснование цели, задач и ожидаемых результатов</w:t>
      </w:r>
    </w:p>
    <w:p w:rsidR="00605A6C" w:rsidRDefault="00605A6C" w:rsidP="00605A6C">
      <w:pPr>
        <w:pStyle w:val="ConsPlusTitle"/>
        <w:jc w:val="center"/>
      </w:pPr>
      <w:r>
        <w:t>реализации Подпрограммы</w:t>
      </w:r>
    </w:p>
    <w:p w:rsidR="00605A6C" w:rsidRDefault="00605A6C" w:rsidP="00605A6C">
      <w:pPr>
        <w:pStyle w:val="ConsPlusNormal"/>
      </w:pPr>
    </w:p>
    <w:p w:rsidR="00605A6C" w:rsidRDefault="00605A6C" w:rsidP="00605A6C">
      <w:pPr>
        <w:pStyle w:val="ConsPlusNormal"/>
        <w:ind w:firstLine="540"/>
        <w:jc w:val="both"/>
      </w:pPr>
      <w:proofErr w:type="gramStart"/>
      <w:r>
        <w:t xml:space="preserve">С учетом приоритетов государственной политики в сфере обеспечения долгосрочной сбалансированности и устойчивости бюджетной системы Ленинградской области, повышения качества управления муниципальными финансами, а также повышения самостоятельности и </w:t>
      </w:r>
      <w:r>
        <w:lastRenderedPageBreak/>
        <w:t>ответственности органов местного самоуправления муниципальных образований при осуществлении расходных и бюджетных полномочий, повышения заинтересованности в наращивании собственной налоговой базы муниципальных образований разработана данная Подпрограмма, целью которой является "Обеспечение условий для устойчивого исполнения расходных обязательств</w:t>
      </w:r>
      <w:proofErr w:type="gramEnd"/>
      <w:r>
        <w:t xml:space="preserve"> муниципальных образований Ленинградской области и повышение качества управления муниципальными финансами".</w:t>
      </w:r>
    </w:p>
    <w:p w:rsidR="00605A6C" w:rsidRDefault="00605A6C" w:rsidP="00605A6C">
      <w:pPr>
        <w:pStyle w:val="ConsPlusNormal"/>
        <w:spacing w:before="220"/>
        <w:ind w:firstLine="540"/>
        <w:jc w:val="both"/>
      </w:pPr>
      <w:r>
        <w:t>Для достижения указанной цели необходимо обеспечить решение следующих задач:</w:t>
      </w:r>
    </w:p>
    <w:p w:rsidR="00605A6C" w:rsidRDefault="00605A6C" w:rsidP="00605A6C">
      <w:pPr>
        <w:pStyle w:val="ConsPlusNormal"/>
        <w:spacing w:before="220"/>
        <w:ind w:firstLine="540"/>
        <w:jc w:val="both"/>
      </w:pPr>
      <w:r>
        <w:t>Задача 1. Совершенствование системы межбюджетных отношений в Ленинградской области.</w:t>
      </w:r>
    </w:p>
    <w:p w:rsidR="00605A6C" w:rsidRDefault="00605A6C" w:rsidP="00605A6C">
      <w:pPr>
        <w:pStyle w:val="ConsPlusNormal"/>
        <w:spacing w:before="220"/>
        <w:ind w:firstLine="540"/>
        <w:jc w:val="both"/>
      </w:pPr>
      <w:r>
        <w:t>Задача 2. Сокращение дифференциации в уровне бюджетной обеспеченности муниципальных образований Ленинградской области.</w:t>
      </w:r>
    </w:p>
    <w:p w:rsidR="00605A6C" w:rsidRDefault="00605A6C" w:rsidP="00605A6C">
      <w:pPr>
        <w:pStyle w:val="ConsPlusNormal"/>
        <w:spacing w:before="220"/>
        <w:ind w:firstLine="540"/>
        <w:jc w:val="both"/>
      </w:pPr>
      <w:r>
        <w:t>Задача 3. Обеспечение устойчивого исполнения бюджетов муниципальных образований Ленинградской области.</w:t>
      </w:r>
    </w:p>
    <w:p w:rsidR="00605A6C" w:rsidRDefault="00605A6C" w:rsidP="00605A6C">
      <w:pPr>
        <w:pStyle w:val="ConsPlusNormal"/>
        <w:spacing w:before="220"/>
        <w:ind w:firstLine="540"/>
        <w:jc w:val="both"/>
      </w:pPr>
      <w:r>
        <w:t>Задача 4. Повышение качества управления муниципальными финансами.</w:t>
      </w:r>
    </w:p>
    <w:p w:rsidR="00605A6C" w:rsidRDefault="00605A6C" w:rsidP="00605A6C">
      <w:pPr>
        <w:pStyle w:val="ConsPlusNormal"/>
        <w:spacing w:before="220"/>
        <w:ind w:firstLine="540"/>
        <w:jc w:val="both"/>
      </w:pPr>
      <w:r>
        <w:t>Ожидаемые результаты реализации государственной программы к концу 2024 года:</w:t>
      </w:r>
    </w:p>
    <w:p w:rsidR="00605A6C" w:rsidRDefault="00605A6C" w:rsidP="00605A6C">
      <w:pPr>
        <w:pStyle w:val="ConsPlusNormal"/>
        <w:spacing w:before="220"/>
        <w:ind w:firstLine="540"/>
        <w:jc w:val="both"/>
      </w:pPr>
      <w:proofErr w:type="gramStart"/>
      <w:r>
        <w:t>Сохранение доли муниципальных образований Ленинградской области, в бюджетах которых доля дотаций из других бюджетов бюджетной системы Российской Федерации превышает 50 проц. объема доходов местных бюджетов,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от общего количества муниципальных образований Ленинградской области, на уровне</w:t>
      </w:r>
      <w:proofErr w:type="gramEnd"/>
      <w:r>
        <w:t xml:space="preserve"> 0,5 проц.</w:t>
      </w:r>
    </w:p>
    <w:p w:rsidR="00605A6C" w:rsidRDefault="00605A6C" w:rsidP="00605A6C">
      <w:pPr>
        <w:pStyle w:val="ConsPlusNormal"/>
        <w:jc w:val="both"/>
      </w:pPr>
      <w:r>
        <w:t xml:space="preserve">(в ред. </w:t>
      </w:r>
      <w:hyperlink r:id="rId7" w:history="1">
        <w:r>
          <w:rPr>
            <w:color w:val="0000FF"/>
          </w:rPr>
          <w:t>Постановления</w:t>
        </w:r>
      </w:hyperlink>
      <w:r>
        <w:t xml:space="preserve"> Правительства Ленинградской области от 27.12.2019 N 627)</w:t>
      </w:r>
    </w:p>
    <w:p w:rsidR="00605A6C" w:rsidRDefault="00605A6C" w:rsidP="00605A6C">
      <w:pPr>
        <w:pStyle w:val="ConsPlusNormal"/>
        <w:spacing w:before="220"/>
        <w:ind w:firstLine="540"/>
        <w:jc w:val="both"/>
      </w:pPr>
      <w:r>
        <w:t>Рост расчетной бюджетной обеспеченности по двум наименее обеспеченным муниципальным районам Ленинградской области (к уровню 2012 года) до 208 проц.</w:t>
      </w:r>
    </w:p>
    <w:p w:rsidR="00605A6C" w:rsidRDefault="00605A6C" w:rsidP="00605A6C">
      <w:pPr>
        <w:pStyle w:val="ConsPlusNormal"/>
        <w:jc w:val="both"/>
      </w:pPr>
      <w:r>
        <w:t xml:space="preserve">(в ред. </w:t>
      </w:r>
      <w:hyperlink r:id="rId8" w:history="1">
        <w:r>
          <w:rPr>
            <w:color w:val="0000FF"/>
          </w:rPr>
          <w:t>Постановления</w:t>
        </w:r>
      </w:hyperlink>
      <w:r>
        <w:t xml:space="preserve"> Правительства Ленинградской области от 27.12.2019 N 627)</w:t>
      </w:r>
    </w:p>
    <w:p w:rsidR="00605A6C" w:rsidRDefault="00605A6C" w:rsidP="00605A6C">
      <w:pPr>
        <w:pStyle w:val="ConsPlusNormal"/>
        <w:spacing w:before="220"/>
        <w:ind w:firstLine="540"/>
        <w:jc w:val="both"/>
      </w:pPr>
      <w:r>
        <w:t>Снижение доли просроченной кредиторской задолженности в расходах консолидированных бюджетов муниципальных образований Ленинградской области до 0,02 проц.</w:t>
      </w:r>
    </w:p>
    <w:p w:rsidR="00605A6C" w:rsidRDefault="00605A6C" w:rsidP="00605A6C">
      <w:pPr>
        <w:pStyle w:val="ConsPlusNormal"/>
        <w:jc w:val="both"/>
      </w:pPr>
      <w:r>
        <w:t xml:space="preserve">(в ред. </w:t>
      </w:r>
      <w:hyperlink r:id="rId9" w:history="1">
        <w:r>
          <w:rPr>
            <w:color w:val="0000FF"/>
          </w:rPr>
          <w:t>Постановления</w:t>
        </w:r>
      </w:hyperlink>
      <w:r>
        <w:t xml:space="preserve"> Правительства Ленинградской области от 27.12.2019 N 627)</w:t>
      </w:r>
    </w:p>
    <w:p w:rsidR="00605A6C" w:rsidRDefault="00605A6C" w:rsidP="00605A6C">
      <w:pPr>
        <w:pStyle w:val="ConsPlusNormal"/>
        <w:spacing w:before="220"/>
        <w:ind w:firstLine="540"/>
        <w:jc w:val="both"/>
      </w:pPr>
      <w:r>
        <w:t>Достижение доли расходов бюджетов муниципальных образований Ленинградской области, формируемых в рамках муниципальных программ, на уровне 90 проц.</w:t>
      </w:r>
    </w:p>
    <w:p w:rsidR="00605A6C" w:rsidRDefault="00605A6C" w:rsidP="00605A6C">
      <w:pPr>
        <w:pStyle w:val="ConsPlusNormal"/>
      </w:pPr>
    </w:p>
    <w:p w:rsidR="00605A6C" w:rsidRDefault="00605A6C" w:rsidP="00605A6C">
      <w:pPr>
        <w:pStyle w:val="ConsPlusTitle"/>
        <w:jc w:val="center"/>
        <w:outlineLvl w:val="2"/>
      </w:pPr>
      <w:r>
        <w:t>2. Характеристика основных мероприятий подпрограммы</w:t>
      </w:r>
    </w:p>
    <w:p w:rsidR="00605A6C" w:rsidRDefault="00605A6C" w:rsidP="00605A6C">
      <w:pPr>
        <w:pStyle w:val="ConsPlusTitle"/>
        <w:jc w:val="center"/>
      </w:pPr>
      <w:r>
        <w:t>и сведения об участии органов местного самоуправления,</w:t>
      </w:r>
    </w:p>
    <w:p w:rsidR="00605A6C" w:rsidRDefault="00605A6C" w:rsidP="00605A6C">
      <w:pPr>
        <w:pStyle w:val="ConsPlusTitle"/>
        <w:jc w:val="center"/>
      </w:pPr>
      <w:r>
        <w:t>юридических и физических лиц</w:t>
      </w:r>
    </w:p>
    <w:p w:rsidR="00605A6C" w:rsidRDefault="00605A6C" w:rsidP="00605A6C">
      <w:pPr>
        <w:pStyle w:val="ConsPlusNormal"/>
      </w:pPr>
    </w:p>
    <w:p w:rsidR="00605A6C" w:rsidRDefault="00605A6C" w:rsidP="00605A6C">
      <w:pPr>
        <w:pStyle w:val="ConsPlusNormal"/>
        <w:ind w:firstLine="540"/>
        <w:jc w:val="both"/>
      </w:pPr>
      <w:r>
        <w:t>В рамках подпрограммы предусматривается реализация следующих основных мероприятий.</w:t>
      </w:r>
    </w:p>
    <w:p w:rsidR="00605A6C" w:rsidRDefault="00605A6C" w:rsidP="00605A6C">
      <w:pPr>
        <w:pStyle w:val="ConsPlusNormal"/>
        <w:ind w:firstLine="540"/>
        <w:jc w:val="both"/>
      </w:pPr>
    </w:p>
    <w:p w:rsidR="00605A6C" w:rsidRDefault="00605A6C" w:rsidP="00605A6C">
      <w:pPr>
        <w:pStyle w:val="ConsPlusTitle"/>
        <w:ind w:firstLine="540"/>
        <w:jc w:val="both"/>
        <w:outlineLvl w:val="3"/>
      </w:pPr>
      <w:r>
        <w:t>1.1. Совершенствование системы перераспределения финансовых ресурсов между областным бюджетом и бюджетами муниципальных образований Ленинградской области</w:t>
      </w:r>
    </w:p>
    <w:p w:rsidR="00605A6C" w:rsidRDefault="00605A6C" w:rsidP="00605A6C">
      <w:pPr>
        <w:pStyle w:val="ConsPlusNormal"/>
        <w:ind w:firstLine="540"/>
        <w:jc w:val="both"/>
      </w:pPr>
    </w:p>
    <w:p w:rsidR="00605A6C" w:rsidRDefault="00605A6C" w:rsidP="00605A6C">
      <w:pPr>
        <w:pStyle w:val="ConsPlusNormal"/>
        <w:ind w:firstLine="540"/>
        <w:jc w:val="both"/>
      </w:pPr>
      <w:r>
        <w:t xml:space="preserve">В рамках основного мероприятия реализуются меры, направленные на расширение самостоятельности и ответственности местных бюджетов, создание достаточных и действенных стимулов для расширения собственной доходной базы бюджетов муниципальных образований Ленинградской области, обеспечение долгосрочной сбалансированности и устойчивости местных </w:t>
      </w:r>
      <w:r>
        <w:lastRenderedPageBreak/>
        <w:t>бюджетов.</w:t>
      </w:r>
    </w:p>
    <w:p w:rsidR="00605A6C" w:rsidRDefault="00605A6C" w:rsidP="00605A6C">
      <w:pPr>
        <w:pStyle w:val="ConsPlusNormal"/>
        <w:spacing w:before="220"/>
        <w:ind w:firstLine="540"/>
        <w:jc w:val="both"/>
      </w:pPr>
      <w:r>
        <w:t>Муниципальные образования Ленинградской области, юридические физические лица в реализации мероприятий участия не принимают.</w:t>
      </w:r>
    </w:p>
    <w:p w:rsidR="00605A6C" w:rsidRDefault="00605A6C" w:rsidP="00605A6C">
      <w:pPr>
        <w:pStyle w:val="ConsPlusNormal"/>
        <w:ind w:firstLine="540"/>
        <w:jc w:val="both"/>
      </w:pPr>
    </w:p>
    <w:p w:rsidR="00605A6C" w:rsidRDefault="00605A6C" w:rsidP="00605A6C">
      <w:pPr>
        <w:pStyle w:val="ConsPlusTitle"/>
        <w:ind w:firstLine="540"/>
        <w:jc w:val="both"/>
        <w:outlineLvl w:val="3"/>
      </w:pPr>
      <w:r>
        <w:t>1.2. Выравнивание бюджетной обеспеченности муниципальных образований Ленинградской области</w:t>
      </w:r>
    </w:p>
    <w:p w:rsidR="00605A6C" w:rsidRDefault="00605A6C" w:rsidP="00605A6C">
      <w:pPr>
        <w:pStyle w:val="ConsPlusNormal"/>
        <w:ind w:firstLine="540"/>
        <w:jc w:val="both"/>
      </w:pPr>
    </w:p>
    <w:p w:rsidR="00605A6C" w:rsidRDefault="00605A6C" w:rsidP="00605A6C">
      <w:pPr>
        <w:pStyle w:val="ConsPlusNormal"/>
        <w:ind w:firstLine="540"/>
        <w:jc w:val="both"/>
      </w:pPr>
      <w:r>
        <w:t xml:space="preserve">Основное мероприятие направлено на обеспечение равных возможностей доступа граждан к муниципальным услугам, предоставляемым за счет средств бюджетов муниципальных образований Ленинградской области. Принципом реализации мероприятия является определение, обеспечение и сохранение в среднесрочном периоде установленного </w:t>
      </w:r>
      <w:proofErr w:type="gramStart"/>
      <w:r>
        <w:t>критерия выравнивания расчетной бюджетной обеспеченности муниципальных образований Ленинградской области</w:t>
      </w:r>
      <w:proofErr w:type="gramEnd"/>
      <w:r>
        <w:t>. Инструментом реализации основного мероприятия являются дотации на выравнивание бюджетной обеспеченности муниципальных образований Ленинградской области, в том числе расчет их распределения.</w:t>
      </w:r>
    </w:p>
    <w:p w:rsidR="00605A6C" w:rsidRDefault="00605A6C" w:rsidP="00605A6C">
      <w:pPr>
        <w:pStyle w:val="ConsPlusNormal"/>
        <w:spacing w:before="220"/>
        <w:ind w:firstLine="540"/>
        <w:jc w:val="both"/>
      </w:pPr>
      <w:r>
        <w:t>Участие муниципальных образований Ленинградской области - муниципальных районов (городского округа) предусмотрено в качестве получателей дотаций на выравнивание бюджетной обеспеченности и субвенций на исполнение отдельных государственных полномочий по расчету и предоставлению дотаций на выравнивание бюджетной обеспеченности поселений за счет средств областного бюджета.</w:t>
      </w:r>
    </w:p>
    <w:p w:rsidR="00605A6C" w:rsidRDefault="00605A6C" w:rsidP="00605A6C">
      <w:pPr>
        <w:pStyle w:val="ConsPlusNormal"/>
        <w:spacing w:before="220"/>
        <w:ind w:firstLine="540"/>
        <w:jc w:val="both"/>
      </w:pPr>
      <w:r>
        <w:t>Участие юридических и физических лиц в реализации основного мероприятия не предусмотрено.</w:t>
      </w:r>
    </w:p>
    <w:p w:rsidR="00605A6C" w:rsidRDefault="00605A6C" w:rsidP="00605A6C">
      <w:pPr>
        <w:pStyle w:val="ConsPlusNormal"/>
        <w:ind w:firstLine="540"/>
        <w:jc w:val="both"/>
      </w:pPr>
    </w:p>
    <w:p w:rsidR="00605A6C" w:rsidRDefault="00605A6C" w:rsidP="00605A6C">
      <w:pPr>
        <w:pStyle w:val="ConsPlusTitle"/>
        <w:ind w:firstLine="540"/>
        <w:jc w:val="both"/>
        <w:outlineLvl w:val="3"/>
      </w:pPr>
      <w:r>
        <w:t>1.3. Поддержка мер по обеспечению сбалансированности бюджетов муниципальных образований Ленинградской области</w:t>
      </w:r>
    </w:p>
    <w:p w:rsidR="00605A6C" w:rsidRDefault="00605A6C" w:rsidP="00605A6C">
      <w:pPr>
        <w:pStyle w:val="ConsPlusNormal"/>
        <w:ind w:firstLine="540"/>
        <w:jc w:val="both"/>
      </w:pPr>
    </w:p>
    <w:p w:rsidR="00605A6C" w:rsidRDefault="00605A6C" w:rsidP="00605A6C">
      <w:pPr>
        <w:pStyle w:val="ConsPlusNormal"/>
        <w:ind w:firstLine="540"/>
        <w:jc w:val="both"/>
      </w:pPr>
      <w:r>
        <w:t>Основное мероприятие направлено на обеспечение сбалансированности бюджетов муниципальных образований Ленинградской области, у которых в процессе исполнения бюджетов возникают риски неисполнения расходных обязательств и разбалансированности бюджетов. Расчет распределения дотаций осуществляется в соответствии с утвержденными Правительством Ленинградской области едиными и формализованными методиками.</w:t>
      </w:r>
    </w:p>
    <w:p w:rsidR="00605A6C" w:rsidRDefault="00605A6C" w:rsidP="00605A6C">
      <w:pPr>
        <w:pStyle w:val="ConsPlusNormal"/>
        <w:spacing w:before="220"/>
        <w:ind w:firstLine="540"/>
        <w:jc w:val="both"/>
      </w:pPr>
      <w:proofErr w:type="gramStart"/>
      <w:r>
        <w:t>Участие муниципальных образований Ленинградской области муниципальных районов (городского округа) предусмотрено в качестве получателей дотаций на поддержку мер по обеспечению сбалансированности бюджетов муниципальных образований Ленинградской области, которые предоставляются в целях финансового обеспечения исполнения расходных обязательств муниципальных районов (городского округа) при недостатке собственных доходов бюджетов муниципальных районов (городского округа), частичной компенсации выпадающих доходов бюджетов муниципальных районов (городского округа).</w:t>
      </w:r>
      <w:proofErr w:type="gramEnd"/>
    </w:p>
    <w:p w:rsidR="00605A6C" w:rsidRDefault="00605A6C" w:rsidP="00605A6C">
      <w:pPr>
        <w:pStyle w:val="ConsPlusNormal"/>
        <w:spacing w:before="220"/>
        <w:ind w:firstLine="540"/>
        <w:jc w:val="both"/>
      </w:pPr>
      <w:r>
        <w:t>Участие юридических и физических лиц в реализации основного мероприятия не предусмотрено.</w:t>
      </w:r>
    </w:p>
    <w:p w:rsidR="00605A6C" w:rsidRDefault="00605A6C" w:rsidP="00605A6C">
      <w:pPr>
        <w:pStyle w:val="ConsPlusNormal"/>
        <w:ind w:firstLine="540"/>
        <w:jc w:val="both"/>
      </w:pPr>
    </w:p>
    <w:p w:rsidR="00605A6C" w:rsidRDefault="00605A6C" w:rsidP="00605A6C">
      <w:pPr>
        <w:pStyle w:val="ConsPlusTitle"/>
        <w:ind w:firstLine="540"/>
        <w:jc w:val="both"/>
        <w:outlineLvl w:val="3"/>
      </w:pPr>
      <w:r>
        <w:t>1.4. Предоставление дополнительной финансовой помощи в виде бюджетных кредитов бюджетам муниципальных образований Ленинградской области</w:t>
      </w:r>
    </w:p>
    <w:p w:rsidR="00605A6C" w:rsidRDefault="00605A6C" w:rsidP="00605A6C">
      <w:pPr>
        <w:pStyle w:val="ConsPlusNormal"/>
        <w:ind w:firstLine="540"/>
        <w:jc w:val="both"/>
      </w:pPr>
    </w:p>
    <w:p w:rsidR="00605A6C" w:rsidRDefault="00605A6C" w:rsidP="00605A6C">
      <w:pPr>
        <w:pStyle w:val="ConsPlusNormal"/>
        <w:ind w:firstLine="540"/>
        <w:jc w:val="both"/>
      </w:pPr>
      <w:r>
        <w:t xml:space="preserve">В рамках основного мероприятия предоставляются бюджетные кредиты для покрытия временных кассовых разрывов, возникающих при исполнении бюджетов муниципальных районов (городского округа). </w:t>
      </w:r>
      <w:proofErr w:type="gramStart"/>
      <w:r>
        <w:t xml:space="preserve">Комитетом финансов Ленинградской области осуществляется анализ долговой нагрузки муниципальных образований, разрабатываются рекомендации органам местного самоуправления муниципальных образований, направленные на снижение объема муниципального долга, включающие обязательное принятие мер по оздоровлению бюджетного </w:t>
      </w:r>
      <w:r>
        <w:lastRenderedPageBreak/>
        <w:t>сектора и сбалансированности исполнения бюджетов при осуществлении оценки качества управления финансами муниципальных образований Ленинградской области.</w:t>
      </w:r>
      <w:proofErr w:type="gramEnd"/>
    </w:p>
    <w:p w:rsidR="00605A6C" w:rsidRDefault="00605A6C" w:rsidP="00605A6C">
      <w:pPr>
        <w:pStyle w:val="ConsPlusNormal"/>
        <w:spacing w:before="220"/>
        <w:ind w:firstLine="540"/>
        <w:jc w:val="both"/>
      </w:pPr>
      <w:r>
        <w:t xml:space="preserve">При улучшении ситуации на рынке заимствований в рамках реализации основного мероприятия предусмотрено сокращение поддержки бюджетов муниципальных образований Ленинградской области за счет бюджетных кредитов на частичное покрытие дефицитов местных бюджетов к преимущественному использованию рыночных </w:t>
      </w:r>
      <w:proofErr w:type="gramStart"/>
      <w:r>
        <w:t>механизмов покрытия дефицитов бюджетов муниципальных образований Ленинградской области</w:t>
      </w:r>
      <w:proofErr w:type="gramEnd"/>
      <w:r>
        <w:t>.</w:t>
      </w:r>
    </w:p>
    <w:p w:rsidR="00605A6C" w:rsidRDefault="00605A6C" w:rsidP="00605A6C">
      <w:pPr>
        <w:pStyle w:val="ConsPlusNormal"/>
        <w:spacing w:before="220"/>
        <w:ind w:firstLine="540"/>
        <w:jc w:val="both"/>
      </w:pPr>
      <w:r>
        <w:t>Участие муниципальных образований Ленинградской области муниципальных районов (городского округа) предусмотрено в качестве получателей кредитов для покрытия временных кассовых разрывов, возникающих при исполнении бюджетов.</w:t>
      </w:r>
    </w:p>
    <w:p w:rsidR="00605A6C" w:rsidRDefault="00605A6C" w:rsidP="00605A6C">
      <w:pPr>
        <w:pStyle w:val="ConsPlusNormal"/>
        <w:spacing w:before="220"/>
        <w:ind w:firstLine="540"/>
        <w:jc w:val="both"/>
      </w:pPr>
      <w:r>
        <w:t>Участие юридических и физических лиц в реализации основного мероприятия не предусмотрено.</w:t>
      </w:r>
    </w:p>
    <w:p w:rsidR="00605A6C" w:rsidRDefault="00605A6C" w:rsidP="00605A6C">
      <w:pPr>
        <w:pStyle w:val="ConsPlusNormal"/>
        <w:ind w:firstLine="540"/>
        <w:jc w:val="both"/>
      </w:pPr>
    </w:p>
    <w:p w:rsidR="00605A6C" w:rsidRDefault="00605A6C" w:rsidP="00605A6C">
      <w:pPr>
        <w:pStyle w:val="ConsPlusTitle"/>
        <w:ind w:firstLine="540"/>
        <w:jc w:val="both"/>
        <w:outlineLvl w:val="3"/>
      </w:pPr>
      <w:r>
        <w:t xml:space="preserve">1.5. Поощрение муниципальных образований Ленинградской области в целях достижения </w:t>
      </w:r>
      <w:proofErr w:type="gramStart"/>
      <w:r>
        <w:t>и(</w:t>
      </w:r>
      <w:proofErr w:type="gramEnd"/>
      <w:r>
        <w:t>или) стимулирования к достижению наилучших показателей</w:t>
      </w:r>
    </w:p>
    <w:p w:rsidR="00605A6C" w:rsidRDefault="00605A6C" w:rsidP="00605A6C">
      <w:pPr>
        <w:pStyle w:val="ConsPlusNormal"/>
        <w:ind w:firstLine="540"/>
        <w:jc w:val="both"/>
      </w:pPr>
      <w:r>
        <w:t xml:space="preserve">(в ред. </w:t>
      </w:r>
      <w:hyperlink r:id="rId10" w:history="1">
        <w:r>
          <w:rPr>
            <w:color w:val="0000FF"/>
          </w:rPr>
          <w:t>Постановления</w:t>
        </w:r>
      </w:hyperlink>
      <w:r>
        <w:t xml:space="preserve"> Правительства Ленинградской области от 31.08.2020 N 607)</w:t>
      </w:r>
    </w:p>
    <w:p w:rsidR="00605A6C" w:rsidRDefault="00605A6C" w:rsidP="00605A6C">
      <w:pPr>
        <w:pStyle w:val="ConsPlusNormal"/>
        <w:ind w:firstLine="540"/>
        <w:jc w:val="both"/>
      </w:pPr>
    </w:p>
    <w:p w:rsidR="00605A6C" w:rsidRDefault="00605A6C" w:rsidP="00605A6C">
      <w:pPr>
        <w:pStyle w:val="ConsPlusNormal"/>
        <w:ind w:firstLine="540"/>
        <w:jc w:val="both"/>
      </w:pPr>
      <w:r>
        <w:t xml:space="preserve">Основное мероприятие направлено на поощрение муниципальных образований Ленинградской области в целях достижения </w:t>
      </w:r>
      <w:proofErr w:type="gramStart"/>
      <w:r>
        <w:t>и(</w:t>
      </w:r>
      <w:proofErr w:type="gramEnd"/>
      <w:r>
        <w:t>или) стимулирования к достижению наилучших показателей.</w:t>
      </w:r>
    </w:p>
    <w:p w:rsidR="00605A6C" w:rsidRDefault="00605A6C" w:rsidP="00605A6C">
      <w:pPr>
        <w:pStyle w:val="ConsPlusNormal"/>
        <w:spacing w:before="220"/>
        <w:ind w:firstLine="540"/>
        <w:jc w:val="both"/>
      </w:pPr>
      <w:r>
        <w:t xml:space="preserve">В рамках основного мероприятия в целях формирования стимулов к повышению качества управления муниципальными финансами осуществляется оценка качества управления финансами муниципальных образований. По итогам года на основании оценки формируются рейтинги муниципальных образований Ленинградской области (отдельно муниципальных районов (городского округа), городских и сельских поселений). Итоги оценки качества управления муниципальными финансами и рейтинги муниципальных районов (городского округа) и поселений размещаются на официальном сайте Комитета финансов Ленинградской области в составе </w:t>
      </w:r>
      <w:proofErr w:type="gramStart"/>
      <w:r>
        <w:t>интернет-портала</w:t>
      </w:r>
      <w:proofErr w:type="gramEnd"/>
      <w:r>
        <w:t xml:space="preserve"> Администрации Ленинградской области. На основании результатов итоговой комплексной оценки на формализованной основе осуществляется распределение дотации на поощрение </w:t>
      </w:r>
      <w:proofErr w:type="gramStart"/>
      <w:r>
        <w:t>достижения наилучших показателей оценки качества управления</w:t>
      </w:r>
      <w:proofErr w:type="gramEnd"/>
      <w:r>
        <w:t xml:space="preserve"> муниципальными финансами между муниципальными образованиями, получившими наибольшую итоговую комплексную оценку качества управления муниципальными финансами и занявшими первые три места в рейтингах муниципальных районов (городского округа), городских и сельских поселений соответственно.</w:t>
      </w:r>
    </w:p>
    <w:p w:rsidR="00605A6C" w:rsidRDefault="00605A6C" w:rsidP="00605A6C">
      <w:pPr>
        <w:pStyle w:val="ConsPlusNormal"/>
        <w:spacing w:before="220"/>
        <w:ind w:firstLine="540"/>
        <w:jc w:val="both"/>
      </w:pPr>
      <w:proofErr w:type="gramStart"/>
      <w:r>
        <w:t>Кроме того, в целях стимулирования муниципальных образований, принимающих меры по увеличению налогового потенциала, предусмотрены дотации, распределяемые на формализованной основе между шестью муниципальными районами (городским округом), получившими наилучшие результаты комплексной оценки показателей увеличения налогового потенциала, определяемые исходя из достигнутого уровня и динамики показателей в сферах налогообложения, инвестиционной деятельности и промышленного производства.</w:t>
      </w:r>
      <w:proofErr w:type="gramEnd"/>
    </w:p>
    <w:p w:rsidR="00605A6C" w:rsidRDefault="00605A6C" w:rsidP="00605A6C">
      <w:pPr>
        <w:pStyle w:val="ConsPlusNormal"/>
        <w:spacing w:before="220"/>
        <w:ind w:firstLine="540"/>
        <w:jc w:val="both"/>
      </w:pPr>
      <w:r>
        <w:t xml:space="preserve">Участие муниципальных образований Ленинградской области предусмотрено в качестве получателей дотаций на поощрение </w:t>
      </w:r>
      <w:proofErr w:type="gramStart"/>
      <w:r>
        <w:t>достижения наилучших показателей оценки качества управления</w:t>
      </w:r>
      <w:proofErr w:type="gramEnd"/>
      <w:r>
        <w:t xml:space="preserve"> муниципальными финансами и дотаций, предоставляемых в целях стимулирования муниципальных образований, принимающих меры по увеличению налогового потенциала.</w:t>
      </w:r>
    </w:p>
    <w:p w:rsidR="00605A6C" w:rsidRDefault="00605A6C" w:rsidP="00605A6C">
      <w:pPr>
        <w:pStyle w:val="ConsPlusNormal"/>
        <w:spacing w:before="220"/>
        <w:ind w:firstLine="540"/>
        <w:jc w:val="both"/>
      </w:pPr>
      <w:r>
        <w:t>Участие юридических и физических лиц в реализации основного мероприятия не предусмотрено.</w:t>
      </w:r>
    </w:p>
    <w:p w:rsidR="00605A6C" w:rsidRDefault="00605A6C" w:rsidP="00605A6C">
      <w:pPr>
        <w:pStyle w:val="ConsPlusNormal"/>
      </w:pPr>
    </w:p>
    <w:p w:rsidR="00A329EE" w:rsidRDefault="00605A6C">
      <w:bookmarkStart w:id="1" w:name="_GoBack"/>
      <w:bookmarkEnd w:id="1"/>
    </w:p>
    <w:sectPr w:rsidR="00A32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A6C"/>
    <w:rsid w:val="00605A6C"/>
    <w:rsid w:val="00771426"/>
    <w:rsid w:val="00EA1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A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A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5A6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A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A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5A6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FCB3EC22726D9894CC21610C0D2157044E394DE1CBA36855B128C8F0BFFD90E10916EA0D39AF5CBF767595F18FD4A0901873A229D4996AGC4CN" TargetMode="External"/><Relationship Id="rId3" Type="http://schemas.openxmlformats.org/officeDocument/2006/relationships/settings" Target="settings.xml"/><Relationship Id="rId7" Type="http://schemas.openxmlformats.org/officeDocument/2006/relationships/hyperlink" Target="consultantplus://offline/ref=62FCB3EC22726D9894CC21610C0D2157044E394DE1CBA36855B128C8F0BFFD90E10916EA0D39AF5CB8767595F18FD4A0901873A229D4996AGC4C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2FCB3EC22726D9894CC21610C0D2157044E394DE1CBA36855B128C8F0BFFD90E10916EA0D39AF5DBC767595F18FD4A0901873A229D4996AGC4CN" TargetMode="External"/><Relationship Id="rId11" Type="http://schemas.openxmlformats.org/officeDocument/2006/relationships/fontTable" Target="fontTable.xml"/><Relationship Id="rId5" Type="http://schemas.openxmlformats.org/officeDocument/2006/relationships/hyperlink" Target="consultantplus://offline/ref=62FCB3EC22726D9894CC21610C0D2157044F3B48E3CFA36855B128C8F0BFFD90E10916EA0D39AF5ABF767595F18FD4A0901873A229D4996AGC4CN" TargetMode="External"/><Relationship Id="rId10" Type="http://schemas.openxmlformats.org/officeDocument/2006/relationships/hyperlink" Target="consultantplus://offline/ref=62FCB3EC22726D9894CC21610C0D2157044F3848ECCDA36855B128C8F0BFFD90E10916EA0D39AF5CB2767595F18FD4A0901873A229D4996AGC4CN" TargetMode="External"/><Relationship Id="rId4" Type="http://schemas.openxmlformats.org/officeDocument/2006/relationships/webSettings" Target="webSettings.xml"/><Relationship Id="rId9" Type="http://schemas.openxmlformats.org/officeDocument/2006/relationships/hyperlink" Target="consultantplus://offline/ref=62FCB3EC22726D9894CC21610C0D2157044E394DE1CBA36855B128C8F0BFFD90E10916EA0D39AF5CBE767595F18FD4A0901873A229D4996AGC4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2235</Words>
  <Characters>12744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Юлия Викторовна</dc:creator>
  <cp:lastModifiedBy>Ильина Юлия Викторовна</cp:lastModifiedBy>
  <cp:revision>1</cp:revision>
  <dcterms:created xsi:type="dcterms:W3CDTF">2020-12-29T14:10:00Z</dcterms:created>
  <dcterms:modified xsi:type="dcterms:W3CDTF">2020-12-29T14:13:00Z</dcterms:modified>
</cp:coreProperties>
</file>