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586489">
      <w:pPr>
        <w:ind w:left="6237"/>
      </w:pPr>
      <w:r w:rsidRPr="000037C9">
        <w:t xml:space="preserve">Таблица </w:t>
      </w:r>
      <w:r w:rsidR="00586489">
        <w:t>16</w:t>
      </w:r>
    </w:p>
    <w:p w:rsidR="000037C9" w:rsidRPr="000037C9" w:rsidRDefault="000037C9" w:rsidP="00586489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586489">
        <w:t>15</w:t>
      </w:r>
      <w:bookmarkStart w:id="0" w:name="_GoBack"/>
      <w:bookmarkEnd w:id="0"/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A07E74" w:rsidRPr="00A07E74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07E74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A07E74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A07E74" w:rsidRPr="00A07E74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07E74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A07E74">
        <w:rPr>
          <w:b/>
          <w:bCs/>
          <w:sz w:val="26"/>
          <w:szCs w:val="26"/>
          <w:lang w:bidi="ne-NP"/>
        </w:rPr>
        <w:t>отдельных</w:t>
      </w:r>
      <w:proofErr w:type="gramEnd"/>
      <w:r w:rsidRPr="00A07E74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A70D99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A07E74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7F6D6F" w:rsidRPr="007F6D6F">
        <w:rPr>
          <w:b/>
          <w:bCs/>
          <w:sz w:val="26"/>
          <w:szCs w:val="26"/>
          <w:lang w:bidi="ne-NP"/>
        </w:rPr>
        <w:t>по освобождению детей-сирот и детей, оставшихся без попечения родителей, в период пребывания в организациях для детей-сирот и детей, оставшихся без попечения родителей, нахождения под опекой (попечительством), в том числе воспитывающихся в приемных семьях, от платы за жилое помещение и коммунальные услуги (включая взнос на капитальный ремонт общего имущества в многоквартирном доме) за жилое помещение, право пользования которым</w:t>
      </w:r>
      <w:proofErr w:type="gramEnd"/>
      <w:r w:rsidR="007F6D6F" w:rsidRPr="007F6D6F">
        <w:rPr>
          <w:b/>
          <w:bCs/>
          <w:sz w:val="26"/>
          <w:szCs w:val="26"/>
          <w:lang w:bidi="ne-NP"/>
        </w:rPr>
        <w:t xml:space="preserve">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собственность, лиц из числа детей-сирот и детей, оставшихся без попечения родителей, проживающих в жилых помещениях, право </w:t>
      </w:r>
      <w:proofErr w:type="gramStart"/>
      <w:r w:rsidR="007F6D6F" w:rsidRPr="007F6D6F">
        <w:rPr>
          <w:b/>
          <w:bCs/>
          <w:sz w:val="26"/>
          <w:szCs w:val="26"/>
          <w:lang w:bidi="ne-NP"/>
        </w:rPr>
        <w:t>пользования</w:t>
      </w:r>
      <w:proofErr w:type="gramEnd"/>
      <w:r w:rsidR="007F6D6F" w:rsidRPr="007F6D6F">
        <w:rPr>
          <w:b/>
          <w:bCs/>
          <w:sz w:val="26"/>
          <w:szCs w:val="26"/>
          <w:lang w:bidi="ne-NP"/>
        </w:rPr>
        <w:t xml:space="preserve">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</w:t>
      </w:r>
      <w:proofErr w:type="gramStart"/>
      <w:r w:rsidR="007F6D6F" w:rsidRPr="007F6D6F">
        <w:rPr>
          <w:b/>
          <w:bCs/>
          <w:sz w:val="26"/>
          <w:szCs w:val="26"/>
          <w:lang w:bidi="ne-NP"/>
        </w:rPr>
        <w:t>и(</w:t>
      </w:r>
      <w:proofErr w:type="gramEnd"/>
      <w:r w:rsidR="007F6D6F" w:rsidRPr="007F6D6F">
        <w:rPr>
          <w:b/>
          <w:bCs/>
          <w:sz w:val="26"/>
          <w:szCs w:val="26"/>
          <w:lang w:bidi="ne-NP"/>
        </w:rPr>
        <w:t>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</w:t>
      </w:r>
      <w:r w:rsidRPr="00A07E74">
        <w:rPr>
          <w:b/>
          <w:bCs/>
          <w:sz w:val="26"/>
          <w:szCs w:val="26"/>
          <w:lang w:bidi="ne-NP"/>
        </w:rPr>
        <w:t xml:space="preserve"> на 202</w:t>
      </w:r>
      <w:r w:rsidR="00087089">
        <w:rPr>
          <w:b/>
          <w:bCs/>
          <w:sz w:val="26"/>
          <w:szCs w:val="26"/>
          <w:lang w:bidi="ne-NP"/>
        </w:rPr>
        <w:t>2</w:t>
      </w:r>
      <w:r w:rsidRPr="00A07E74">
        <w:rPr>
          <w:b/>
          <w:bCs/>
          <w:sz w:val="26"/>
          <w:szCs w:val="26"/>
          <w:lang w:bidi="ne-NP"/>
        </w:rPr>
        <w:t xml:space="preserve"> год и на плановый</w:t>
      </w:r>
      <w:r w:rsidR="007F6D6F">
        <w:rPr>
          <w:b/>
          <w:bCs/>
          <w:sz w:val="26"/>
          <w:szCs w:val="26"/>
          <w:lang w:bidi="ne-NP"/>
        </w:rPr>
        <w:t xml:space="preserve"> </w:t>
      </w:r>
      <w:r w:rsidRPr="00A07E74">
        <w:rPr>
          <w:b/>
          <w:bCs/>
          <w:sz w:val="26"/>
          <w:szCs w:val="26"/>
          <w:lang w:bidi="ne-NP"/>
        </w:rPr>
        <w:t>период 202</w:t>
      </w:r>
      <w:r w:rsidR="00087089">
        <w:rPr>
          <w:b/>
          <w:bCs/>
          <w:sz w:val="26"/>
          <w:szCs w:val="26"/>
          <w:lang w:bidi="ne-NP"/>
        </w:rPr>
        <w:t>3</w:t>
      </w:r>
      <w:r w:rsidRPr="00A07E74">
        <w:rPr>
          <w:b/>
          <w:bCs/>
          <w:sz w:val="26"/>
          <w:szCs w:val="26"/>
          <w:lang w:bidi="ne-NP"/>
        </w:rPr>
        <w:t xml:space="preserve"> и 202</w:t>
      </w:r>
      <w:r w:rsidR="00087089">
        <w:rPr>
          <w:b/>
          <w:bCs/>
          <w:sz w:val="26"/>
          <w:szCs w:val="26"/>
          <w:lang w:bidi="ne-NP"/>
        </w:rPr>
        <w:t>4</w:t>
      </w:r>
      <w:r w:rsidRPr="00A07E74">
        <w:rPr>
          <w:b/>
          <w:bCs/>
          <w:sz w:val="26"/>
          <w:szCs w:val="26"/>
          <w:lang w:bidi="ne-NP"/>
        </w:rPr>
        <w:t xml:space="preserve"> годов</w:t>
      </w:r>
    </w:p>
    <w:p w:rsidR="00A07E74" w:rsidRPr="00697E4E" w:rsidRDefault="00A07E74" w:rsidP="00A07E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0037C9" w:rsidRDefault="006F09E7" w:rsidP="00A07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08708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087089">
              <w:rPr>
                <w:b/>
                <w:sz w:val="22"/>
                <w:szCs w:val="22"/>
              </w:rPr>
              <w:t xml:space="preserve">2 </w:t>
            </w:r>
            <w:r w:rsidRPr="000037C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08708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087089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08708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087089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2 031,3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2 031,3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2 031,3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1 901,0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1 901,0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1 901,0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5 603,7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5 603,7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5 603,7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1 519,3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1 519,3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1 519,3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10 675,5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10 675,5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10 675,5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7 180,9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7 180,9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7 180,9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1 133,8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1 133,8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1 133,8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3 052,0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3 052,0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3 052,0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2 810,1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2 810,1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2 810,1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1 604,4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1 604,4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1 604,4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2 013,8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2 013,8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2 013,8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2 450,4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2 450,4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2 450,4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1 821,2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1 821,2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1 821,2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1 340,9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1 340,9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1 340,9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2 771,2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2 771,2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2 771,2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3 894,9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3 894,9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3 894,9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2 626,4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2 626,4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2 626,4</w:t>
            </w:r>
          </w:p>
        </w:tc>
      </w:tr>
      <w:tr w:rsidR="006E20AC" w:rsidRPr="00B70556" w:rsidTr="00B81DAB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495,3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495,3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6E20AC" w:rsidRPr="006E20AC" w:rsidRDefault="006E20AC" w:rsidP="006E20AC">
            <w:pPr>
              <w:jc w:val="center"/>
            </w:pPr>
            <w:r w:rsidRPr="006E20AC">
              <w:t>495,3</w:t>
            </w:r>
          </w:p>
        </w:tc>
      </w:tr>
      <w:tr w:rsidR="006E20AC" w:rsidRPr="00FE0214" w:rsidTr="00B81DAB">
        <w:trPr>
          <w:cantSplit/>
          <w:trHeight w:val="20"/>
          <w:jc w:val="center"/>
        </w:trPr>
        <w:tc>
          <w:tcPr>
            <w:tcW w:w="531" w:type="dxa"/>
          </w:tcPr>
          <w:p w:rsidR="006E20AC" w:rsidRPr="00FE0214" w:rsidRDefault="006E20AC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6E20AC" w:rsidRPr="00FE0214" w:rsidRDefault="006E20AC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center"/>
          </w:tcPr>
          <w:p w:rsidR="006E20AC" w:rsidRPr="006E20AC" w:rsidRDefault="006E20AC" w:rsidP="006E20AC">
            <w:pPr>
              <w:jc w:val="center"/>
              <w:rPr>
                <w:b/>
                <w:bCs/>
              </w:rPr>
            </w:pPr>
            <w:r w:rsidRPr="006E20AC">
              <w:rPr>
                <w:b/>
                <w:bCs/>
              </w:rPr>
              <w:t>54 926,1</w:t>
            </w:r>
          </w:p>
        </w:tc>
        <w:tc>
          <w:tcPr>
            <w:tcW w:w="1519" w:type="dxa"/>
            <w:vAlign w:val="center"/>
          </w:tcPr>
          <w:p w:rsidR="006E20AC" w:rsidRPr="006E20AC" w:rsidRDefault="006E20AC" w:rsidP="006E20AC">
            <w:pPr>
              <w:jc w:val="center"/>
              <w:rPr>
                <w:b/>
                <w:bCs/>
              </w:rPr>
            </w:pPr>
            <w:r w:rsidRPr="006E20AC">
              <w:rPr>
                <w:b/>
                <w:bCs/>
              </w:rPr>
              <w:t>54 926,1</w:t>
            </w:r>
          </w:p>
        </w:tc>
        <w:tc>
          <w:tcPr>
            <w:tcW w:w="1519" w:type="dxa"/>
            <w:vAlign w:val="center"/>
          </w:tcPr>
          <w:p w:rsidR="006E20AC" w:rsidRPr="006E20AC" w:rsidRDefault="006E20AC" w:rsidP="006E20AC">
            <w:pPr>
              <w:jc w:val="center"/>
              <w:rPr>
                <w:b/>
                <w:bCs/>
              </w:rPr>
            </w:pPr>
            <w:r w:rsidRPr="006E20AC">
              <w:rPr>
                <w:b/>
                <w:bCs/>
              </w:rPr>
              <w:t>54 926,1</w:t>
            </w:r>
          </w:p>
        </w:tc>
      </w:tr>
    </w:tbl>
    <w:p w:rsidR="00C348DC" w:rsidRPr="00166FE8" w:rsidRDefault="00C348DC" w:rsidP="00A07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87089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30697"/>
    <w:rsid w:val="00287578"/>
    <w:rsid w:val="0029074D"/>
    <w:rsid w:val="002A5C33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475234"/>
    <w:rsid w:val="00491CCB"/>
    <w:rsid w:val="004D5521"/>
    <w:rsid w:val="004F719A"/>
    <w:rsid w:val="00586489"/>
    <w:rsid w:val="0058685D"/>
    <w:rsid w:val="00603396"/>
    <w:rsid w:val="0061087F"/>
    <w:rsid w:val="006129C4"/>
    <w:rsid w:val="006256FD"/>
    <w:rsid w:val="006452FF"/>
    <w:rsid w:val="0068269A"/>
    <w:rsid w:val="00697E4E"/>
    <w:rsid w:val="006C5E8F"/>
    <w:rsid w:val="006D251D"/>
    <w:rsid w:val="006E20AC"/>
    <w:rsid w:val="006F09E7"/>
    <w:rsid w:val="00743979"/>
    <w:rsid w:val="00743EBE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6D6F"/>
    <w:rsid w:val="0080430F"/>
    <w:rsid w:val="00833C01"/>
    <w:rsid w:val="008346A2"/>
    <w:rsid w:val="00840D1D"/>
    <w:rsid w:val="008434D2"/>
    <w:rsid w:val="00852B8C"/>
    <w:rsid w:val="00854147"/>
    <w:rsid w:val="00855B34"/>
    <w:rsid w:val="008657FA"/>
    <w:rsid w:val="008766C6"/>
    <w:rsid w:val="0089176A"/>
    <w:rsid w:val="00897EAA"/>
    <w:rsid w:val="0090218A"/>
    <w:rsid w:val="00906F43"/>
    <w:rsid w:val="00912749"/>
    <w:rsid w:val="00940553"/>
    <w:rsid w:val="009446FA"/>
    <w:rsid w:val="00962705"/>
    <w:rsid w:val="00964975"/>
    <w:rsid w:val="00983AE9"/>
    <w:rsid w:val="009B5031"/>
    <w:rsid w:val="009C3D77"/>
    <w:rsid w:val="009D0F0F"/>
    <w:rsid w:val="009E3BFE"/>
    <w:rsid w:val="00A01E70"/>
    <w:rsid w:val="00A07E74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07EB"/>
    <w:rsid w:val="00E57DC5"/>
    <w:rsid w:val="00E70F84"/>
    <w:rsid w:val="00E9731E"/>
    <w:rsid w:val="00ED38C4"/>
    <w:rsid w:val="00EF3A90"/>
    <w:rsid w:val="00EF57A8"/>
    <w:rsid w:val="00F032DB"/>
    <w:rsid w:val="00F6324D"/>
    <w:rsid w:val="00F75146"/>
    <w:rsid w:val="00F97427"/>
    <w:rsid w:val="00FB4D7E"/>
    <w:rsid w:val="00FB50B7"/>
    <w:rsid w:val="00FD4B4C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2017-12-06T12:05:00Z</cp:lastPrinted>
  <dcterms:created xsi:type="dcterms:W3CDTF">2020-08-12T14:32:00Z</dcterms:created>
  <dcterms:modified xsi:type="dcterms:W3CDTF">2021-08-24T11:40:00Z</dcterms:modified>
</cp:coreProperties>
</file>