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0B" w:rsidRDefault="00505A4F" w:rsidP="0025240B">
      <w:pPr>
        <w:jc w:val="center"/>
      </w:pPr>
      <w:r>
        <w:t xml:space="preserve">Итоги </w:t>
      </w:r>
    </w:p>
    <w:p w:rsidR="00BB3F32" w:rsidRDefault="00505A4F" w:rsidP="0025240B">
      <w:pPr>
        <w:jc w:val="center"/>
      </w:pPr>
      <w:r>
        <w:t xml:space="preserve">проведения </w:t>
      </w:r>
      <w:r w:rsidR="00425D59">
        <w:t>комитетом</w:t>
      </w:r>
      <w:r>
        <w:t xml:space="preserve"> финансов </w:t>
      </w:r>
      <w:r w:rsidRPr="003768E2">
        <w:t xml:space="preserve">Ленинградской </w:t>
      </w:r>
      <w:proofErr w:type="gramStart"/>
      <w:r w:rsidRPr="003768E2">
        <w:t>области</w:t>
      </w:r>
      <w:r>
        <w:t xml:space="preserve"> мониторинга эффективности </w:t>
      </w:r>
      <w:r w:rsidRPr="00505A4F">
        <w:t xml:space="preserve"> использования субсидий</w:t>
      </w:r>
      <w:proofErr w:type="gramEnd"/>
      <w:r w:rsidRPr="00505A4F">
        <w:t xml:space="preserve"> из областного бюджета Ленинградской области муниципальными обра</w:t>
      </w:r>
      <w:r>
        <w:t>зованиями Ленинградской области за 2017 год.</w:t>
      </w:r>
    </w:p>
    <w:p w:rsidR="00505A4F" w:rsidRDefault="00505A4F"/>
    <w:p w:rsidR="00505A4F" w:rsidRDefault="00505A4F" w:rsidP="00E312D7">
      <w:pPr>
        <w:ind w:firstLine="567"/>
        <w:jc w:val="both"/>
      </w:pPr>
      <w:r>
        <w:t>В соответствии с п</w:t>
      </w:r>
      <w:r w:rsidRPr="00505A4F">
        <w:t>риказ</w:t>
      </w:r>
      <w:r>
        <w:t>ом</w:t>
      </w:r>
      <w:r w:rsidRPr="00505A4F">
        <w:t xml:space="preserve"> комитета финансов Ленинградской области от 26.02.2018 </w:t>
      </w:r>
      <w:r>
        <w:t>№</w:t>
      </w:r>
      <w:r w:rsidRPr="00505A4F">
        <w:t xml:space="preserve"> 18-02/01-20-19 "О порядке </w:t>
      </w:r>
      <w:proofErr w:type="gramStart"/>
      <w:r w:rsidRPr="00505A4F">
        <w:t>проведения мониторинга эффективности использования субсидий</w:t>
      </w:r>
      <w:proofErr w:type="gramEnd"/>
      <w:r w:rsidRPr="00505A4F">
        <w:t xml:space="preserve"> из областного бюджета Ленинградской области муниципальными образованиями Ленинградской области"</w:t>
      </w:r>
      <w:r>
        <w:t xml:space="preserve"> проведен мониторинг эффективности </w:t>
      </w:r>
      <w:r w:rsidRPr="00505A4F">
        <w:t xml:space="preserve"> использования субсидий из областного бюджета Ленинградской области муниципальными обра</w:t>
      </w:r>
      <w:r>
        <w:t>зованиями Ленинградской области за 2017 год</w:t>
      </w:r>
      <w:r w:rsidR="00FC75B7">
        <w:t xml:space="preserve"> (далее – Мониторинг)</w:t>
      </w:r>
      <w:r>
        <w:t>.</w:t>
      </w:r>
    </w:p>
    <w:p w:rsidR="00FC75B7" w:rsidRDefault="00FC75B7" w:rsidP="00E312D7">
      <w:pPr>
        <w:ind w:firstLine="567"/>
        <w:jc w:val="both"/>
      </w:pPr>
      <w:r>
        <w:t xml:space="preserve">Мониторинг проведен на основе данных годового отчета об исполнении областного бюджета за 2017 год и представленной </w:t>
      </w:r>
      <w:r>
        <w:rPr>
          <w:rFonts w:eastAsia="Times New Roman" w:cs="Times New Roman"/>
          <w:szCs w:val="28"/>
          <w:lang w:eastAsia="ru-RU"/>
        </w:rPr>
        <w:t>информации</w:t>
      </w:r>
      <w:r w:rsidRPr="00E927A8">
        <w:rPr>
          <w:rFonts w:eastAsia="Times New Roman" w:cs="Times New Roman"/>
          <w:szCs w:val="28"/>
          <w:lang w:eastAsia="ru-RU"/>
        </w:rPr>
        <w:t xml:space="preserve"> главными распорядителями средств областного бюджета Ленинградской области</w:t>
      </w:r>
      <w:r w:rsidR="00503A1F">
        <w:rPr>
          <w:rFonts w:eastAsia="Times New Roman" w:cs="Times New Roman"/>
          <w:szCs w:val="28"/>
          <w:lang w:eastAsia="ru-RU"/>
        </w:rPr>
        <w:t xml:space="preserve"> (дале</w:t>
      </w:r>
      <w:proofErr w:type="gramStart"/>
      <w:r w:rsidR="00503A1F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–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ГРБС).</w:t>
      </w:r>
    </w:p>
    <w:p w:rsidR="00505A4F" w:rsidRDefault="0025240B" w:rsidP="00E312D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E927A8">
        <w:rPr>
          <w:rFonts w:eastAsia="Times New Roman" w:cs="Times New Roman"/>
          <w:szCs w:val="28"/>
          <w:lang w:eastAsia="ru-RU"/>
        </w:rPr>
        <w:t xml:space="preserve"> рамках реализации 13 государственных программ Лен</w:t>
      </w:r>
      <w:bookmarkStart w:id="0" w:name="_GoBack"/>
      <w:bookmarkEnd w:id="0"/>
      <w:r w:rsidRPr="00E927A8">
        <w:rPr>
          <w:rFonts w:eastAsia="Times New Roman" w:cs="Times New Roman"/>
          <w:szCs w:val="28"/>
          <w:lang w:eastAsia="ru-RU"/>
        </w:rPr>
        <w:t>инградской области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="00333139" w:rsidRPr="00E927A8">
        <w:rPr>
          <w:rFonts w:eastAsia="Times New Roman" w:cs="Times New Roman"/>
          <w:szCs w:val="28"/>
          <w:lang w:eastAsia="ru-RU"/>
        </w:rPr>
        <w:t>редоставление субсидий из областного бюджета Ленинградской области бюджетам муниципальных образований Ленинградской области осуществлялось 18 главными распорядителями средств областного бюджета Ленинградской области</w:t>
      </w:r>
      <w:r w:rsidR="00333139">
        <w:rPr>
          <w:rFonts w:eastAsia="Times New Roman" w:cs="Times New Roman"/>
          <w:szCs w:val="28"/>
          <w:lang w:eastAsia="ru-RU"/>
        </w:rPr>
        <w:t>.</w:t>
      </w:r>
    </w:p>
    <w:p w:rsidR="00333139" w:rsidRDefault="0025240B" w:rsidP="00E312D7">
      <w:pPr>
        <w:ind w:firstLine="567"/>
        <w:jc w:val="both"/>
      </w:pPr>
      <w:r>
        <w:t xml:space="preserve">В 2017 году в областном бюджете было предусмотрено 69 субсидий 216 муниципальным образованиям. Из 217 муниципальных образований только одно </w:t>
      </w:r>
      <w:proofErr w:type="spellStart"/>
      <w:r>
        <w:t>Юкковское</w:t>
      </w:r>
      <w:proofErr w:type="spellEnd"/>
      <w:r>
        <w:t xml:space="preserve"> сельское поселение Всеволожского муниципального района не являлось получателем субсидий.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977"/>
        <w:gridCol w:w="1984"/>
        <w:gridCol w:w="2140"/>
      </w:tblGrid>
      <w:tr w:rsidR="0025240B" w:rsidRPr="0025240B" w:rsidTr="0025240B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0B" w:rsidRPr="0025240B" w:rsidRDefault="0025240B" w:rsidP="0025240B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Наименование ГРБС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0B" w:rsidRPr="0025240B" w:rsidRDefault="0025240B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количество предусмотренных субсидий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40B" w:rsidRPr="0025240B" w:rsidRDefault="0025240B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количество </w:t>
            </w:r>
            <w:proofErr w:type="spellStart"/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</w:t>
            </w:r>
            <w:proofErr w:type="spellEnd"/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получателей субсидий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Комитет по агропромышленному и </w:t>
            </w:r>
            <w:proofErr w:type="spellStart"/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рыбохозяйственному</w:t>
            </w:r>
            <w:proofErr w:type="spellEnd"/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комплексу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85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185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81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207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209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24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связи и информатизации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97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120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E312D7" w:rsidRPr="0025240B" w:rsidTr="0025240B">
        <w:trPr>
          <w:trHeight w:val="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D7" w:rsidRPr="0025240B" w:rsidRDefault="00E312D7" w:rsidP="0025240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Default="00E312D7" w:rsidP="00E312D7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2D7" w:rsidRPr="0025240B" w:rsidRDefault="00E312D7" w:rsidP="00E312D7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25240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216</w:t>
            </w:r>
          </w:p>
        </w:tc>
      </w:tr>
    </w:tbl>
    <w:p w:rsidR="00C50282" w:rsidRDefault="00E312D7" w:rsidP="00C50282">
      <w:pPr>
        <w:ind w:firstLine="567"/>
        <w:jc w:val="both"/>
      </w:pPr>
      <w:r>
        <w:t xml:space="preserve">По количеству предоставляемых субсидий </w:t>
      </w:r>
      <w:r w:rsidR="00C50282">
        <w:t>н</w:t>
      </w:r>
      <w:r>
        <w:t xml:space="preserve">аибольше </w:t>
      </w:r>
      <w:r w:rsidR="00C50282">
        <w:t xml:space="preserve">их </w:t>
      </w:r>
      <w:r>
        <w:t xml:space="preserve">количество </w:t>
      </w:r>
      <w:r w:rsidR="00C50282">
        <w:t xml:space="preserve">осуществляется </w:t>
      </w:r>
      <w:r>
        <w:t>в трех ГРБС</w:t>
      </w:r>
      <w:r w:rsidR="00C50282">
        <w:t xml:space="preserve">: </w:t>
      </w:r>
      <w:r>
        <w:t xml:space="preserve"> </w:t>
      </w:r>
      <w:r w:rsidR="00C50282">
        <w:t xml:space="preserve">в </w:t>
      </w:r>
      <w:r w:rsidRPr="00E312D7">
        <w:t>Комитет</w:t>
      </w:r>
      <w:r w:rsidR="00C50282">
        <w:t>е</w:t>
      </w:r>
      <w:r w:rsidRPr="00E312D7">
        <w:t xml:space="preserve"> общего и профессионального образования Ленинградской области</w:t>
      </w:r>
      <w:r>
        <w:t xml:space="preserve"> </w:t>
      </w:r>
      <w:r w:rsidR="00C50282">
        <w:t xml:space="preserve"> - </w:t>
      </w:r>
      <w:r>
        <w:t>11</w:t>
      </w:r>
      <w:r w:rsidR="00C50282">
        <w:t xml:space="preserve"> субсидий, в </w:t>
      </w:r>
      <w:r w:rsidRPr="00E312D7">
        <w:t>комитет</w:t>
      </w:r>
      <w:r w:rsidR="00C50282">
        <w:t>е</w:t>
      </w:r>
      <w:r w:rsidRPr="00E312D7">
        <w:t xml:space="preserve"> по строительству Ленинградской области</w:t>
      </w:r>
      <w:r>
        <w:t xml:space="preserve"> -</w:t>
      </w:r>
      <w:r w:rsidR="00C50282">
        <w:t xml:space="preserve"> </w:t>
      </w:r>
      <w:r>
        <w:t>20</w:t>
      </w:r>
      <w:r w:rsidR="00C50282">
        <w:t xml:space="preserve">субсидий, в </w:t>
      </w:r>
      <w:r w:rsidRPr="00E312D7">
        <w:t>Комитет по топливно-энергетическому комплексу Ленинградской области</w:t>
      </w:r>
      <w:r>
        <w:t xml:space="preserve"> </w:t>
      </w:r>
      <w:r w:rsidR="00C50282">
        <w:t>–</w:t>
      </w:r>
      <w:r>
        <w:t xml:space="preserve"> 10</w:t>
      </w:r>
      <w:r w:rsidR="00C50282">
        <w:t xml:space="preserve"> субсидий.</w:t>
      </w:r>
    </w:p>
    <w:p w:rsidR="00425D59" w:rsidRDefault="00E312D7" w:rsidP="00C50282">
      <w:pPr>
        <w:ind w:firstLine="567"/>
        <w:jc w:val="both"/>
      </w:pPr>
      <w:r>
        <w:t xml:space="preserve">Итоги </w:t>
      </w:r>
      <w:r w:rsidR="00C50282">
        <w:t>исполнения расходов</w:t>
      </w:r>
      <w:r w:rsidR="00D733B7">
        <w:t>, осуществляемые муниципальными образованиями за счет средств субсидий, следующие:</w:t>
      </w:r>
      <w:r w:rsidR="00C50282">
        <w:t xml:space="preserve"> </w:t>
      </w:r>
    </w:p>
    <w:p w:rsidR="00425D59" w:rsidRPr="00D733B7" w:rsidRDefault="0025240B" w:rsidP="0025240B">
      <w:pPr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 w:rsidRPr="00D733B7">
        <w:rPr>
          <w:rFonts w:ascii="Calibri" w:eastAsia="Times New Roman" w:hAnsi="Calibri" w:cs="Times New Roman"/>
          <w:color w:val="000000"/>
          <w:sz w:val="22"/>
          <w:lang w:eastAsia="ru-RU"/>
        </w:rPr>
        <w:t>Тыс</w:t>
      </w:r>
      <w:proofErr w:type="gramStart"/>
      <w:r w:rsidRPr="00D733B7">
        <w:rPr>
          <w:rFonts w:ascii="Calibri" w:eastAsia="Times New Roman" w:hAnsi="Calibri" w:cs="Times New Roman"/>
          <w:color w:val="000000"/>
          <w:sz w:val="22"/>
          <w:lang w:eastAsia="ru-RU"/>
        </w:rPr>
        <w:t>.р</w:t>
      </w:r>
      <w:proofErr w:type="gramEnd"/>
      <w:r w:rsidRPr="00D733B7">
        <w:rPr>
          <w:rFonts w:ascii="Calibri" w:eastAsia="Times New Roman" w:hAnsi="Calibri" w:cs="Times New Roman"/>
          <w:color w:val="000000"/>
          <w:sz w:val="22"/>
          <w:lang w:eastAsia="ru-RU"/>
        </w:rPr>
        <w:t>уб</w:t>
      </w:r>
      <w:proofErr w:type="spellEnd"/>
      <w:r w:rsidRPr="00D733B7">
        <w:rPr>
          <w:rFonts w:ascii="Calibri" w:eastAsia="Times New Roman" w:hAnsi="Calibri" w:cs="Times New Roman"/>
          <w:color w:val="000000"/>
          <w:sz w:val="22"/>
          <w:lang w:eastAsia="ru-RU"/>
        </w:rPr>
        <w:t>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481"/>
        <w:gridCol w:w="1928"/>
        <w:gridCol w:w="1436"/>
        <w:gridCol w:w="1637"/>
        <w:gridCol w:w="1977"/>
      </w:tblGrid>
      <w:tr w:rsidR="00425D59" w:rsidRPr="00425D59" w:rsidTr="00721B87">
        <w:trPr>
          <w:trHeight w:val="2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59" w:rsidRPr="00425D59" w:rsidRDefault="00425D59" w:rsidP="00601CA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59" w:rsidRPr="00425D59" w:rsidRDefault="00425D59" w:rsidP="00601CA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предусмотрено в областном бюджете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59" w:rsidRPr="00425D59" w:rsidRDefault="00425D59" w:rsidP="00601CA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фактически перечислено </w:t>
            </w:r>
            <w:proofErr w:type="spellStart"/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59" w:rsidRPr="00425D59" w:rsidRDefault="00425D59" w:rsidP="00601CA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фактически израсходовано </w:t>
            </w:r>
            <w:proofErr w:type="spellStart"/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59" w:rsidRPr="00425D59" w:rsidRDefault="00425D59" w:rsidP="00601CA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% исполнения фактически израсходованных средств к </w:t>
            </w:r>
            <w:proofErr w:type="gramStart"/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предусмотренным</w:t>
            </w:r>
            <w:proofErr w:type="gramEnd"/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в областном бюджете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661 736,6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616 617,3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573 306,1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86,6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Комитет по агропромышленному и </w:t>
            </w:r>
            <w:proofErr w:type="spellStart"/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рыбохозяйственному</w:t>
            </w:r>
            <w:proofErr w:type="spellEnd"/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комплексу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175 450,2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169 230,3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165 221,9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94,2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45 732,9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45 421,3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45 421,3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99,3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1 073 076,6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793 737,9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766 045,3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71,4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2 573 126,6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2 194 764,2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1 724 554,0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67,0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комитет по культуре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506 502,3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503 858,6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466 328,8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92,1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462 200,0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462 200,0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442 336,9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95,7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13 950,0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13 950,0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13 950,0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1 206,4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1 206,4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1 206,4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54 855,6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54 855,6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54 307,9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связи и информатизации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22 800,0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22 800,0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11 371,5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49,9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109 956,0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109 956,0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109 956,0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6 253 935,8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5 191 551,3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4 277 091,9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68,4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1 798 865,5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1 496 639,1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1 386 184,7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77,1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60 390,0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60 390,0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99,0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3 316,5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3 316,5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3 316,5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100,0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3 237,2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3 237,2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85,2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9 732,4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9 732,4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97,3</w:t>
            </w:r>
          </w:p>
        </w:tc>
      </w:tr>
      <w:tr w:rsidR="00425D59" w:rsidRPr="00425D59" w:rsidTr="00721B87">
        <w:trPr>
          <w:trHeight w:val="20"/>
        </w:trPr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59" w:rsidRPr="00425D59" w:rsidRDefault="00425D59" w:rsidP="00425D5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13 831 511,0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11 753 464,1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10 113 958,8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59" w:rsidRPr="00425D59" w:rsidRDefault="00425D59" w:rsidP="00425D5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425D5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73,1</w:t>
            </w:r>
          </w:p>
        </w:tc>
      </w:tr>
    </w:tbl>
    <w:p w:rsidR="00425D59" w:rsidRDefault="00D733B7" w:rsidP="00B8483E">
      <w:pPr>
        <w:ind w:firstLine="567"/>
        <w:jc w:val="both"/>
      </w:pPr>
      <w:r>
        <w:t xml:space="preserve">Таким образом, из 18 ГРБС только по субсидиям четырех ГРБС </w:t>
      </w:r>
      <w:r w:rsidR="00302C7D">
        <w:t xml:space="preserve">предусмотренные </w:t>
      </w:r>
      <w:r>
        <w:t xml:space="preserve">средства </w:t>
      </w:r>
      <w:r w:rsidR="00302C7D">
        <w:t xml:space="preserve">областного бюджета израсходованы муниципальными образованиями в полном объеме. Это </w:t>
      </w:r>
      <w:r w:rsidR="00302C7D" w:rsidRPr="00302C7D">
        <w:t>комитет по молодежной политике Ленинградской области</w:t>
      </w:r>
      <w:r w:rsidR="00302C7D">
        <w:t xml:space="preserve">, </w:t>
      </w:r>
      <w:r w:rsidR="00302C7D" w:rsidRPr="00302C7D">
        <w:t xml:space="preserve">Комитет по природным </w:t>
      </w:r>
      <w:r w:rsidR="00302C7D" w:rsidRPr="00302C7D">
        <w:lastRenderedPageBreak/>
        <w:t>ресурсам Ленинградской области</w:t>
      </w:r>
      <w:r w:rsidR="00302C7D">
        <w:t xml:space="preserve">, </w:t>
      </w:r>
      <w:r w:rsidR="00302C7D" w:rsidRPr="00302C7D">
        <w:t>комитет по социальной защите населения Ленинградской области</w:t>
      </w:r>
      <w:r w:rsidR="00302C7D">
        <w:t xml:space="preserve"> и </w:t>
      </w:r>
      <w:r w:rsidR="00302C7D" w:rsidRPr="00302C7D">
        <w:t>Комитет финансов Ленинградской области</w:t>
      </w:r>
      <w:r w:rsidR="00302C7D">
        <w:t>.</w:t>
      </w:r>
    </w:p>
    <w:p w:rsidR="00302C7D" w:rsidRDefault="00302C7D" w:rsidP="00B8483E">
      <w:pPr>
        <w:ind w:firstLine="567"/>
        <w:jc w:val="both"/>
      </w:pPr>
      <w:proofErr w:type="gramStart"/>
      <w:r>
        <w:t>Исполнение расходов от 95% до 100% наблюдается у 5 ГРБС</w:t>
      </w:r>
      <w:r w:rsidR="00B8483E">
        <w:t xml:space="preserve"> </w:t>
      </w:r>
      <w:r>
        <w:t>(</w:t>
      </w:r>
      <w:r w:rsidRPr="00302C7D">
        <w:t>комитет</w:t>
      </w:r>
      <w:r>
        <w:t>а</w:t>
      </w:r>
      <w:r w:rsidRPr="00302C7D">
        <w:t xml:space="preserve"> по архитектуре и градостроительству Ленинградской области</w:t>
      </w:r>
      <w:r>
        <w:t xml:space="preserve">, </w:t>
      </w:r>
      <w:r w:rsidRPr="00302C7D">
        <w:t>комитет</w:t>
      </w:r>
      <w:r>
        <w:t>а</w:t>
      </w:r>
      <w:r w:rsidRPr="00302C7D">
        <w:t xml:space="preserve"> по местному самоуправлению, межнациональным и межконфессиональным отношениям Ленинградской области</w:t>
      </w:r>
      <w:r>
        <w:t xml:space="preserve">, </w:t>
      </w:r>
      <w:r w:rsidRPr="00302C7D">
        <w:t>комитет</w:t>
      </w:r>
      <w:r>
        <w:t>а</w:t>
      </w:r>
      <w:r w:rsidRPr="00302C7D">
        <w:t xml:space="preserve"> по развитию малого, среднего бизнеса и потребительского рынка Ленинградской области</w:t>
      </w:r>
      <w:r>
        <w:t xml:space="preserve">, </w:t>
      </w:r>
      <w:r w:rsidRPr="00302C7D">
        <w:t>комитет</w:t>
      </w:r>
      <w:r>
        <w:t>а</w:t>
      </w:r>
      <w:r w:rsidRPr="00302C7D">
        <w:t xml:space="preserve"> по физической культуре и спорту Ленинградской области</w:t>
      </w:r>
      <w:r>
        <w:t xml:space="preserve"> и управления</w:t>
      </w:r>
      <w:r w:rsidRPr="00302C7D">
        <w:t xml:space="preserve"> Ленинградской области по транспорту</w:t>
      </w:r>
      <w:r>
        <w:t>).</w:t>
      </w:r>
      <w:proofErr w:type="gramEnd"/>
    </w:p>
    <w:p w:rsidR="00302C7D" w:rsidRDefault="00ED262F" w:rsidP="00B8483E">
      <w:pPr>
        <w:ind w:firstLine="567"/>
        <w:jc w:val="both"/>
      </w:pPr>
      <w:proofErr w:type="gramStart"/>
      <w:r>
        <w:t>И</w:t>
      </w:r>
      <w:r w:rsidR="00A32AAB">
        <w:t>сполнение расходов (</w:t>
      </w:r>
      <w:r w:rsidR="00FC6A7F">
        <w:t xml:space="preserve">от 70% до </w:t>
      </w:r>
      <w:r w:rsidR="00A32AAB">
        <w:t xml:space="preserve">95%) наблюдается у </w:t>
      </w:r>
      <w:r w:rsidR="00FC6A7F">
        <w:t>6</w:t>
      </w:r>
      <w:r w:rsidR="00A32AAB">
        <w:t xml:space="preserve"> ГРБС (</w:t>
      </w:r>
      <w:r w:rsidR="00A32AAB" w:rsidRPr="00A32AAB">
        <w:t>Комитет</w:t>
      </w:r>
      <w:r w:rsidR="00A32AAB">
        <w:t>а</w:t>
      </w:r>
      <w:r w:rsidR="00A32AAB" w:rsidRPr="00A32AAB">
        <w:t xml:space="preserve"> общего и профессионального образования Ленинградской области</w:t>
      </w:r>
      <w:r w:rsidR="00FC6A7F">
        <w:t xml:space="preserve">, </w:t>
      </w:r>
      <w:r w:rsidR="00A32AAB" w:rsidRPr="00A32AAB">
        <w:t>Комитет</w:t>
      </w:r>
      <w:r w:rsidR="00FC6A7F">
        <w:t>а</w:t>
      </w:r>
      <w:r w:rsidR="00A32AAB" w:rsidRPr="00A32AAB">
        <w:t xml:space="preserve"> по агропромышленному и </w:t>
      </w:r>
      <w:proofErr w:type="spellStart"/>
      <w:r w:rsidR="00A32AAB" w:rsidRPr="00A32AAB">
        <w:t>рыбохозяйственному</w:t>
      </w:r>
      <w:proofErr w:type="spellEnd"/>
      <w:r w:rsidR="00A32AAB" w:rsidRPr="00A32AAB">
        <w:t xml:space="preserve"> комплексу Ленинградской области</w:t>
      </w:r>
      <w:r w:rsidR="00FC6A7F">
        <w:t>,</w:t>
      </w:r>
      <w:r w:rsidR="00A32AAB">
        <w:t xml:space="preserve"> </w:t>
      </w:r>
      <w:r w:rsidR="00A32AAB" w:rsidRPr="00A32AAB">
        <w:t>Комитет</w:t>
      </w:r>
      <w:r w:rsidR="00FC6A7F">
        <w:t>а</w:t>
      </w:r>
      <w:r w:rsidR="00A32AAB" w:rsidRPr="00A32AAB">
        <w:t xml:space="preserve"> по дорожному хозяйству Ленинградской области</w:t>
      </w:r>
      <w:r w:rsidR="00FC6A7F">
        <w:t>,</w:t>
      </w:r>
      <w:r w:rsidR="00A32AAB">
        <w:t xml:space="preserve"> </w:t>
      </w:r>
      <w:r w:rsidR="00A32AAB" w:rsidRPr="00A32AAB">
        <w:t>комитет</w:t>
      </w:r>
      <w:r w:rsidR="00FC6A7F">
        <w:t>а</w:t>
      </w:r>
      <w:r w:rsidR="00A32AAB" w:rsidRPr="00A32AAB">
        <w:t xml:space="preserve"> по культуре Ленинградской области</w:t>
      </w:r>
      <w:r w:rsidR="00FC6A7F">
        <w:t>,</w:t>
      </w:r>
      <w:r w:rsidR="00A32AAB">
        <w:t xml:space="preserve"> </w:t>
      </w:r>
      <w:r w:rsidR="00A32AAB" w:rsidRPr="00A32AAB">
        <w:t>Комитет</w:t>
      </w:r>
      <w:r w:rsidR="00FC6A7F">
        <w:t>а</w:t>
      </w:r>
      <w:r w:rsidR="00A32AAB" w:rsidRPr="00A32AAB">
        <w:t xml:space="preserve"> по топливно-энергетическому комплексу Ленинградской области</w:t>
      </w:r>
      <w:r w:rsidR="00FC6A7F">
        <w:t xml:space="preserve"> и</w:t>
      </w:r>
      <w:r w:rsidR="00A32AAB">
        <w:t xml:space="preserve"> </w:t>
      </w:r>
      <w:r w:rsidR="00A32AAB" w:rsidRPr="00A32AAB">
        <w:t>Комитет</w:t>
      </w:r>
      <w:r w:rsidR="00FC6A7F">
        <w:t>а</w:t>
      </w:r>
      <w:r w:rsidR="00A32AAB" w:rsidRPr="00A32AAB">
        <w:t xml:space="preserve"> экономического развития и инвестиционной деятельности Ленинградской области</w:t>
      </w:r>
      <w:r w:rsidR="00FC6A7F">
        <w:t xml:space="preserve">. </w:t>
      </w:r>
      <w:proofErr w:type="gramEnd"/>
    </w:p>
    <w:p w:rsidR="00FC6A7F" w:rsidRDefault="00ED262F" w:rsidP="00B8483E">
      <w:pPr>
        <w:ind w:firstLine="567"/>
        <w:jc w:val="both"/>
      </w:pPr>
      <w:r>
        <w:t>Низкое</w:t>
      </w:r>
      <w:r w:rsidR="00FC6A7F">
        <w:t xml:space="preserve"> исполнение расходов (до 70%) у </w:t>
      </w:r>
      <w:r w:rsidR="00FC6A7F" w:rsidRPr="00A32AAB">
        <w:t>комитет</w:t>
      </w:r>
      <w:r w:rsidR="00FC6A7F">
        <w:t>а</w:t>
      </w:r>
      <w:r w:rsidR="00FC6A7F" w:rsidRPr="00A32AAB">
        <w:t xml:space="preserve"> по жилищно-коммунальному хозяйству Ленинградской области</w:t>
      </w:r>
      <w:r w:rsidR="00FC6A7F">
        <w:t xml:space="preserve"> </w:t>
      </w:r>
      <w:r w:rsidR="00601CA9">
        <w:t xml:space="preserve">- </w:t>
      </w:r>
      <w:r w:rsidR="00FC6A7F">
        <w:t>67%,</w:t>
      </w:r>
      <w:r w:rsidR="00FC6A7F" w:rsidRPr="00FC6A7F">
        <w:t xml:space="preserve"> </w:t>
      </w:r>
      <w:r w:rsidR="00FC6A7F" w:rsidRPr="00A32AAB">
        <w:t>Комитет</w:t>
      </w:r>
      <w:r w:rsidR="00FC6A7F">
        <w:t>а</w:t>
      </w:r>
      <w:r w:rsidR="00FC6A7F" w:rsidRPr="00A32AAB">
        <w:t xml:space="preserve"> по связи и информатизации Ленинградской области</w:t>
      </w:r>
      <w:r w:rsidR="00FC6A7F">
        <w:t xml:space="preserve"> </w:t>
      </w:r>
      <w:r w:rsidR="00601CA9">
        <w:t xml:space="preserve">- </w:t>
      </w:r>
      <w:r w:rsidR="00FC6A7F">
        <w:t>49,9% и</w:t>
      </w:r>
      <w:r w:rsidR="00FC6A7F" w:rsidRPr="00FC6A7F">
        <w:t xml:space="preserve"> </w:t>
      </w:r>
      <w:r w:rsidR="00FC6A7F" w:rsidRPr="00A32AAB">
        <w:t>комитет</w:t>
      </w:r>
      <w:r w:rsidR="00FC6A7F">
        <w:t>а</w:t>
      </w:r>
      <w:r w:rsidR="00FC6A7F" w:rsidRPr="00A32AAB">
        <w:t xml:space="preserve"> по строительству Ленинградской области</w:t>
      </w:r>
      <w:r w:rsidR="00FC6A7F">
        <w:t xml:space="preserve"> </w:t>
      </w:r>
      <w:r w:rsidR="00601CA9">
        <w:t xml:space="preserve">- </w:t>
      </w:r>
      <w:r w:rsidR="00FC6A7F">
        <w:t>68,4%.</w:t>
      </w:r>
    </w:p>
    <w:p w:rsidR="00D624AF" w:rsidRDefault="00D624AF" w:rsidP="00B8483E">
      <w:pPr>
        <w:ind w:firstLine="567"/>
        <w:jc w:val="both"/>
      </w:pPr>
      <w:r>
        <w:t xml:space="preserve">При этом следует отметить, что поскольку </w:t>
      </w:r>
      <w:r w:rsidR="00601CA9">
        <w:t xml:space="preserve">по </w:t>
      </w:r>
      <w:r>
        <w:t>объем</w:t>
      </w:r>
      <w:r w:rsidR="00601CA9">
        <w:t>у</w:t>
      </w:r>
      <w:r>
        <w:t xml:space="preserve"> предусмотренных в областном бюджете субсидий </w:t>
      </w:r>
      <w:r w:rsidR="00601CA9">
        <w:t xml:space="preserve">наибольшую долю составляют субсидии </w:t>
      </w:r>
      <w:r w:rsidRPr="00D624AF">
        <w:t>комитет</w:t>
      </w:r>
      <w:r>
        <w:t xml:space="preserve">а </w:t>
      </w:r>
      <w:r w:rsidRPr="00D624AF">
        <w:t>по строительству Ленинградской области</w:t>
      </w:r>
      <w:r>
        <w:t xml:space="preserve"> </w:t>
      </w:r>
      <w:r w:rsidR="00601CA9">
        <w:t xml:space="preserve">(45,2%) и </w:t>
      </w:r>
      <w:r w:rsidR="00601CA9" w:rsidRPr="00D624AF">
        <w:t>комитет</w:t>
      </w:r>
      <w:r w:rsidR="00601CA9">
        <w:t>а</w:t>
      </w:r>
      <w:r w:rsidR="00601CA9" w:rsidRPr="00D624AF">
        <w:t xml:space="preserve"> по жилищно-коммунальному хозяйству Ленинградской области</w:t>
      </w:r>
      <w:r>
        <w:t xml:space="preserve"> </w:t>
      </w:r>
      <w:r w:rsidR="00601CA9">
        <w:t>(</w:t>
      </w:r>
      <w:r>
        <w:t>18,6%</w:t>
      </w:r>
      <w:r w:rsidR="00601CA9">
        <w:t xml:space="preserve">), то и не использованный остаток средств только по </w:t>
      </w:r>
      <w:r w:rsidR="00B668DC">
        <w:t>указанным</w:t>
      </w:r>
      <w:r w:rsidR="00601CA9">
        <w:t xml:space="preserve"> ГРБС составил 1384,7 </w:t>
      </w:r>
      <w:proofErr w:type="spellStart"/>
      <w:r w:rsidR="00601CA9">
        <w:t>млн</w:t>
      </w:r>
      <w:proofErr w:type="gramStart"/>
      <w:r w:rsidR="00601CA9">
        <w:t>.р</w:t>
      </w:r>
      <w:proofErr w:type="gramEnd"/>
      <w:r w:rsidR="00601CA9">
        <w:t>уб</w:t>
      </w:r>
      <w:proofErr w:type="spellEnd"/>
      <w:r w:rsidR="00601CA9">
        <w:t>. или 10% объема субсидий, предусмотренных в областном бюджете.</w:t>
      </w:r>
    </w:p>
    <w:p w:rsidR="00601CA9" w:rsidRDefault="00650BF9" w:rsidP="00B8483E">
      <w:pPr>
        <w:ind w:firstLine="567"/>
        <w:jc w:val="both"/>
      </w:pPr>
      <w:r>
        <w:t xml:space="preserve">По итогам проведенного анализа результативности предоставления субсидий </w:t>
      </w:r>
      <w:r w:rsidRPr="00650BF9">
        <w:t xml:space="preserve">в связи с </w:t>
      </w:r>
      <w:proofErr w:type="spellStart"/>
      <w:r w:rsidRPr="00650BF9">
        <w:t>недостижением</w:t>
      </w:r>
      <w:proofErr w:type="spellEnd"/>
      <w:r w:rsidRPr="00650BF9">
        <w:t xml:space="preserve"> </w:t>
      </w:r>
      <w:r>
        <w:t xml:space="preserve">муниципальными образованиями </w:t>
      </w:r>
      <w:r w:rsidRPr="00650BF9">
        <w:t>целевых показателей результативности</w:t>
      </w:r>
      <w:r>
        <w:t xml:space="preserve"> начислены штрафы.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0"/>
        <w:gridCol w:w="1468"/>
        <w:gridCol w:w="1881"/>
        <w:gridCol w:w="1881"/>
        <w:gridCol w:w="1483"/>
      </w:tblGrid>
      <w:tr w:rsidR="00650BF9" w:rsidRPr="00650BF9" w:rsidTr="00650BF9">
        <w:trPr>
          <w:trHeight w:val="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F9" w:rsidRPr="00650BF9" w:rsidRDefault="00650BF9" w:rsidP="00650B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F9" w:rsidRPr="00650BF9" w:rsidRDefault="00650BF9" w:rsidP="00650B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Сумма начисленных штрафов </w:t>
            </w:r>
            <w:proofErr w:type="spellStart"/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</w:t>
            </w:r>
            <w:proofErr w:type="spellEnd"/>
            <w:r w:rsidR="00E6751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всего, в </w:t>
            </w:r>
            <w:proofErr w:type="spellStart"/>
            <w:r w:rsidR="00E6751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="00E6751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="00E6751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уб</w:t>
            </w:r>
            <w:proofErr w:type="spellEnd"/>
            <w:r w:rsidR="00E67518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F9" w:rsidRPr="00650BF9" w:rsidRDefault="00650BF9" w:rsidP="00650B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количество начисленных штрафов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F9" w:rsidRPr="00650BF9" w:rsidRDefault="00650BF9" w:rsidP="00650B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количество </w:t>
            </w:r>
            <w:proofErr w:type="spellStart"/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</w:t>
            </w:r>
            <w:proofErr w:type="spellEnd"/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которым </w:t>
            </w:r>
            <w:r w:rsidR="00ED262F"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начислены</w:t>
            </w: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штрафы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BF9" w:rsidRPr="00650BF9" w:rsidRDefault="00650BF9" w:rsidP="00650BF9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количество субсидий, по  которым </w:t>
            </w:r>
            <w:r w:rsidR="00ED262F"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начислены</w:t>
            </w: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штрафы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54,1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Комитет по агропромышленному и </w:t>
            </w:r>
            <w:proofErr w:type="spellStart"/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рыбохозяйственному</w:t>
            </w:r>
            <w:proofErr w:type="spellEnd"/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комплексу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236,0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Комитет по дорожному </w:t>
            </w: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хозяйству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21 638,8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комитет по жилищно-коммунальному хозяйству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12 327,8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29,6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молодежной политике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природным ресурсам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связи и информатизации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27 491,5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1 859,9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финансов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управление Ленинградской области по транспорту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650BF9" w:rsidRPr="00650BF9" w:rsidTr="00650BF9">
        <w:trPr>
          <w:trHeight w:val="2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BF9" w:rsidRPr="00650BF9" w:rsidRDefault="00650BF9" w:rsidP="00650BF9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63 637,7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BF9" w:rsidRPr="00650BF9" w:rsidRDefault="00650BF9" w:rsidP="00650BF9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650BF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</w:t>
            </w:r>
          </w:p>
        </w:tc>
      </w:tr>
    </w:tbl>
    <w:p w:rsidR="00650BF9" w:rsidRDefault="000262F5" w:rsidP="00B8483E">
      <w:pPr>
        <w:ind w:firstLine="567"/>
        <w:jc w:val="both"/>
      </w:pPr>
      <w:proofErr w:type="gramStart"/>
      <w:r>
        <w:t>По субсидиям 11 ГРБС (</w:t>
      </w:r>
      <w:r w:rsidRPr="000262F5">
        <w:t>Комитет</w:t>
      </w:r>
      <w:r w:rsidR="00456975">
        <w:t>а</w:t>
      </w:r>
      <w:r w:rsidRPr="000262F5">
        <w:t xml:space="preserve"> по природным ресурсам Ленинградской области</w:t>
      </w:r>
      <w:r>
        <w:t xml:space="preserve">, </w:t>
      </w:r>
      <w:r w:rsidRPr="000262F5">
        <w:t>комитет</w:t>
      </w:r>
      <w:r w:rsidR="00456975">
        <w:t>а</w:t>
      </w:r>
      <w:r w:rsidRPr="000262F5">
        <w:t xml:space="preserve"> по развитию малого, среднего бизнеса и потребительского рынка Ленинградской области</w:t>
      </w:r>
      <w:r>
        <w:t xml:space="preserve">, </w:t>
      </w:r>
      <w:r w:rsidRPr="000262F5">
        <w:t>Комитет</w:t>
      </w:r>
      <w:r w:rsidR="00456975">
        <w:t>а</w:t>
      </w:r>
      <w:r w:rsidRPr="000262F5">
        <w:t xml:space="preserve"> по связи и </w:t>
      </w:r>
      <w:r w:rsidRPr="000262F5">
        <w:lastRenderedPageBreak/>
        <w:t>информатизации Ленинградской области</w:t>
      </w:r>
      <w:r>
        <w:t xml:space="preserve">, </w:t>
      </w:r>
      <w:r w:rsidRPr="000262F5">
        <w:t>комитет по социальной защите населения Ленинградской области</w:t>
      </w:r>
      <w:r>
        <w:t xml:space="preserve">, </w:t>
      </w:r>
      <w:r w:rsidRPr="000262F5">
        <w:t>комитет</w:t>
      </w:r>
      <w:r w:rsidR="00456975">
        <w:t>а</w:t>
      </w:r>
      <w:r w:rsidRPr="000262F5">
        <w:t xml:space="preserve"> по физической культуре и спорту Ленинградской области</w:t>
      </w:r>
      <w:r>
        <w:t xml:space="preserve">, </w:t>
      </w:r>
      <w:r w:rsidRPr="000262F5">
        <w:t>Комитет</w:t>
      </w:r>
      <w:r w:rsidR="00456975">
        <w:t>а</w:t>
      </w:r>
      <w:r w:rsidRPr="000262F5">
        <w:t xml:space="preserve"> финансов Ленинградской области</w:t>
      </w:r>
      <w:r>
        <w:t xml:space="preserve">, </w:t>
      </w:r>
      <w:r w:rsidRPr="000262F5">
        <w:t>Комитет</w:t>
      </w:r>
      <w:r w:rsidR="00456975">
        <w:t>а</w:t>
      </w:r>
      <w:r w:rsidRPr="000262F5">
        <w:t xml:space="preserve"> экономического развития и инвестиционной деятельности Ленинградской области</w:t>
      </w:r>
      <w:r>
        <w:t xml:space="preserve"> и </w:t>
      </w:r>
      <w:r w:rsidRPr="000262F5">
        <w:t>управлени</w:t>
      </w:r>
      <w:r w:rsidR="00456975">
        <w:t>я</w:t>
      </w:r>
      <w:r w:rsidRPr="000262F5">
        <w:t xml:space="preserve"> Ленинградской области по</w:t>
      </w:r>
      <w:proofErr w:type="gramEnd"/>
      <w:r w:rsidRPr="000262F5">
        <w:t xml:space="preserve"> транспорту</w:t>
      </w:r>
      <w:r>
        <w:t xml:space="preserve">) все </w:t>
      </w:r>
      <w:r w:rsidRPr="00650BF9">
        <w:t>целевы</w:t>
      </w:r>
      <w:r>
        <w:t>е</w:t>
      </w:r>
      <w:r w:rsidRPr="00650BF9">
        <w:t xml:space="preserve"> показател</w:t>
      </w:r>
      <w:r>
        <w:t>и</w:t>
      </w:r>
      <w:r w:rsidRPr="00650BF9">
        <w:t xml:space="preserve"> результативности</w:t>
      </w:r>
      <w:r w:rsidRPr="000262F5">
        <w:t xml:space="preserve"> </w:t>
      </w:r>
      <w:r>
        <w:t>муниципальными образованиями выполнены.</w:t>
      </w:r>
      <w:r w:rsidR="00BF3625">
        <w:t xml:space="preserve"> При этом следует отметить, что</w:t>
      </w:r>
      <w:r w:rsidR="00456975">
        <w:t>,</w:t>
      </w:r>
      <w:r w:rsidR="00BF3625">
        <w:t xml:space="preserve"> несмотря на самое низкое исполнение расходов по субсидии </w:t>
      </w:r>
      <w:r w:rsidR="00BF3625" w:rsidRPr="00A32AAB">
        <w:t>Комитет</w:t>
      </w:r>
      <w:r w:rsidR="00BF3625">
        <w:t>а</w:t>
      </w:r>
      <w:r w:rsidR="00BF3625" w:rsidRPr="00A32AAB">
        <w:t xml:space="preserve"> по связи и информатизации Ленинградской области</w:t>
      </w:r>
      <w:r w:rsidR="00BF3625">
        <w:t xml:space="preserve"> (49,9%), все муниципальные образования достигли исполнения целевых показателей с меньшим объемом средств и неиспользованный остаток </w:t>
      </w:r>
      <w:r w:rsidR="00456975">
        <w:t xml:space="preserve">субсидии в сумме 11,4 </w:t>
      </w:r>
      <w:proofErr w:type="spellStart"/>
      <w:r w:rsidR="00456975">
        <w:t>млн</w:t>
      </w:r>
      <w:proofErr w:type="gramStart"/>
      <w:r w:rsidR="00456975">
        <w:t>.р</w:t>
      </w:r>
      <w:proofErr w:type="gramEnd"/>
      <w:r w:rsidR="00456975">
        <w:t>уб</w:t>
      </w:r>
      <w:proofErr w:type="spellEnd"/>
      <w:r w:rsidR="00456975">
        <w:t>. вернули в областной бюджет.</w:t>
      </w:r>
      <w:r w:rsidR="00BF3625">
        <w:t xml:space="preserve"> </w:t>
      </w:r>
    </w:p>
    <w:p w:rsidR="000262F5" w:rsidRDefault="000262F5" w:rsidP="00B8483E">
      <w:pPr>
        <w:ind w:firstLine="567"/>
        <w:jc w:val="both"/>
      </w:pPr>
      <w:proofErr w:type="gramStart"/>
      <w:r>
        <w:t>По субсидиям 7 ГРБС (</w:t>
      </w:r>
      <w:r w:rsidRPr="000262F5">
        <w:t>Комитет</w:t>
      </w:r>
      <w:r w:rsidR="00456975">
        <w:t>а</w:t>
      </w:r>
      <w:r w:rsidRPr="000262F5">
        <w:t xml:space="preserve"> общего и профессионального образования Ленинградской области</w:t>
      </w:r>
      <w:r>
        <w:t xml:space="preserve">, </w:t>
      </w:r>
      <w:r w:rsidRPr="000262F5">
        <w:t>Комитет</w:t>
      </w:r>
      <w:r w:rsidR="00456975">
        <w:t>а</w:t>
      </w:r>
      <w:r w:rsidRPr="000262F5">
        <w:t xml:space="preserve"> по агропромышленному и </w:t>
      </w:r>
      <w:proofErr w:type="spellStart"/>
      <w:r w:rsidRPr="000262F5">
        <w:t>рыбохозяйственному</w:t>
      </w:r>
      <w:proofErr w:type="spellEnd"/>
      <w:r w:rsidRPr="000262F5">
        <w:t xml:space="preserve"> комплексу Ленинградской области</w:t>
      </w:r>
      <w:r>
        <w:t xml:space="preserve">, </w:t>
      </w:r>
      <w:r w:rsidRPr="000262F5">
        <w:t>Комитет</w:t>
      </w:r>
      <w:r w:rsidR="00456975">
        <w:t>а</w:t>
      </w:r>
      <w:r w:rsidRPr="000262F5">
        <w:t xml:space="preserve"> по дорожному хозяйству Ленинградской области</w:t>
      </w:r>
      <w:r>
        <w:t xml:space="preserve">, </w:t>
      </w:r>
      <w:r w:rsidRPr="000262F5">
        <w:t>комитет</w:t>
      </w:r>
      <w:r w:rsidR="00456975">
        <w:t>а</w:t>
      </w:r>
      <w:r w:rsidRPr="000262F5">
        <w:t xml:space="preserve"> по жилищно-коммунальному хозяйству Ленинградской области</w:t>
      </w:r>
      <w:r>
        <w:t xml:space="preserve">, </w:t>
      </w:r>
      <w:r w:rsidRPr="000262F5">
        <w:t>комитет</w:t>
      </w:r>
      <w:r w:rsidR="00456975">
        <w:t>а</w:t>
      </w:r>
      <w:r w:rsidRPr="000262F5">
        <w:t xml:space="preserve"> по культуре Ленинградской области</w:t>
      </w:r>
      <w:r>
        <w:t xml:space="preserve">, </w:t>
      </w:r>
      <w:r w:rsidRPr="000262F5">
        <w:t>комитет</w:t>
      </w:r>
      <w:r w:rsidR="00456975">
        <w:t>а</w:t>
      </w:r>
      <w:r w:rsidRPr="000262F5">
        <w:t xml:space="preserve"> по строительству Ленинградской области</w:t>
      </w:r>
      <w:r>
        <w:t xml:space="preserve"> и </w:t>
      </w:r>
      <w:r w:rsidRPr="000262F5">
        <w:t>Комитет</w:t>
      </w:r>
      <w:r w:rsidR="00456975">
        <w:t>а</w:t>
      </w:r>
      <w:r w:rsidRPr="000262F5">
        <w:t xml:space="preserve"> по топливно-энергетическому комплексу Ленинградской области</w:t>
      </w:r>
      <w:r w:rsidR="00030F5E">
        <w:t>)</w:t>
      </w:r>
      <w:r w:rsidR="00456975">
        <w:t xml:space="preserve"> помимо низкого исполнения расходов по субсидиям и муниципальными образованиями </w:t>
      </w:r>
      <w:r w:rsidR="00030F5E" w:rsidRPr="00650BF9">
        <w:t>не</w:t>
      </w:r>
      <w:r w:rsidR="00456975">
        <w:t xml:space="preserve"> </w:t>
      </w:r>
      <w:r w:rsidR="00030F5E" w:rsidRPr="00650BF9">
        <w:t>дости</w:t>
      </w:r>
      <w:r w:rsidR="00456975">
        <w:t xml:space="preserve">гнуты </w:t>
      </w:r>
      <w:r w:rsidR="00030F5E" w:rsidRPr="00650BF9">
        <w:t>целевы</w:t>
      </w:r>
      <w:r w:rsidR="00456975">
        <w:t>е</w:t>
      </w:r>
      <w:proofErr w:type="gramEnd"/>
      <w:r w:rsidR="00030F5E" w:rsidRPr="00650BF9">
        <w:t xml:space="preserve"> показател</w:t>
      </w:r>
      <w:r w:rsidR="00456975">
        <w:t xml:space="preserve">и. </w:t>
      </w:r>
      <w:r w:rsidR="00030F5E" w:rsidRPr="00650BF9">
        <w:t xml:space="preserve"> </w:t>
      </w:r>
    </w:p>
    <w:p w:rsidR="00170341" w:rsidRDefault="00170341" w:rsidP="00B8483E">
      <w:pPr>
        <w:ind w:firstLine="567"/>
        <w:jc w:val="both"/>
        <w:rPr>
          <w:szCs w:val="28"/>
        </w:rPr>
      </w:pPr>
      <w:r>
        <w:rPr>
          <w:szCs w:val="28"/>
        </w:rPr>
        <w:t xml:space="preserve">По </w:t>
      </w:r>
      <w:r w:rsidRPr="00170341">
        <w:rPr>
          <w:szCs w:val="28"/>
        </w:rPr>
        <w:t>количеств</w:t>
      </w:r>
      <w:r>
        <w:rPr>
          <w:szCs w:val="28"/>
        </w:rPr>
        <w:t>у</w:t>
      </w:r>
      <w:r w:rsidRPr="00170341">
        <w:rPr>
          <w:szCs w:val="28"/>
        </w:rPr>
        <w:t xml:space="preserve"> начисленных штрафов в связи с </w:t>
      </w:r>
      <w:proofErr w:type="spellStart"/>
      <w:r w:rsidRPr="00170341">
        <w:rPr>
          <w:szCs w:val="28"/>
        </w:rPr>
        <w:t>недостижением</w:t>
      </w:r>
      <w:proofErr w:type="spellEnd"/>
      <w:r w:rsidRPr="00170341">
        <w:rPr>
          <w:szCs w:val="28"/>
        </w:rPr>
        <w:t xml:space="preserve"> целевых показателей результативности </w:t>
      </w:r>
      <w:r w:rsidR="007656BA">
        <w:rPr>
          <w:szCs w:val="28"/>
        </w:rPr>
        <w:t xml:space="preserve">и их </w:t>
      </w:r>
      <w:r>
        <w:rPr>
          <w:szCs w:val="28"/>
        </w:rPr>
        <w:t xml:space="preserve">объему </w:t>
      </w:r>
      <w:r w:rsidR="007656BA">
        <w:rPr>
          <w:szCs w:val="28"/>
        </w:rPr>
        <w:t xml:space="preserve">«лидируют» </w:t>
      </w:r>
      <w:r w:rsidR="007656BA" w:rsidRPr="007656BA">
        <w:rPr>
          <w:szCs w:val="28"/>
        </w:rPr>
        <w:t xml:space="preserve">Комитет по дорожному хозяйству Ленинградской области </w:t>
      </w:r>
      <w:r w:rsidR="007656BA">
        <w:rPr>
          <w:szCs w:val="28"/>
        </w:rPr>
        <w:t xml:space="preserve">(2,82% объёма </w:t>
      </w:r>
      <w:r w:rsidR="007656BA" w:rsidRPr="007656BA">
        <w:rPr>
          <w:szCs w:val="28"/>
        </w:rPr>
        <w:t>фактически израсходованных средств</w:t>
      </w:r>
      <w:r w:rsidR="007656BA">
        <w:rPr>
          <w:szCs w:val="28"/>
        </w:rPr>
        <w:t xml:space="preserve">), </w:t>
      </w:r>
      <w:r w:rsidR="007656BA" w:rsidRPr="007656BA">
        <w:rPr>
          <w:szCs w:val="28"/>
        </w:rPr>
        <w:t xml:space="preserve">комитет по жилищно-коммунальному хозяйству Ленинградской области </w:t>
      </w:r>
      <w:r w:rsidR="007656BA">
        <w:rPr>
          <w:szCs w:val="28"/>
        </w:rPr>
        <w:t xml:space="preserve">(0,71%) и </w:t>
      </w:r>
      <w:r w:rsidR="007656BA" w:rsidRPr="007656BA">
        <w:rPr>
          <w:szCs w:val="28"/>
        </w:rPr>
        <w:t>комитет по строительству Ленинградской области</w:t>
      </w:r>
      <w:r w:rsidR="007656BA">
        <w:rPr>
          <w:szCs w:val="28"/>
        </w:rPr>
        <w:t xml:space="preserve"> (0,64%). </w:t>
      </w:r>
    </w:p>
    <w:p w:rsidR="009354EE" w:rsidRDefault="00170341" w:rsidP="00B8483E">
      <w:pPr>
        <w:ind w:firstLine="567"/>
        <w:jc w:val="both"/>
      </w:pPr>
      <w:r>
        <w:rPr>
          <w:szCs w:val="28"/>
        </w:rPr>
        <w:t xml:space="preserve">В разрезе территорий муниципальных районов и городского округа </w:t>
      </w:r>
      <w:r w:rsidRPr="00170341">
        <w:t xml:space="preserve">штрафы </w:t>
      </w:r>
      <w:r w:rsidRPr="009354EE">
        <w:t xml:space="preserve">в связи с </w:t>
      </w:r>
      <w:proofErr w:type="spellStart"/>
      <w:r w:rsidRPr="009354EE">
        <w:t>недостижением</w:t>
      </w:r>
      <w:proofErr w:type="spellEnd"/>
      <w:r w:rsidRPr="009354EE">
        <w:t xml:space="preserve"> целевых показателей результативности</w:t>
      </w:r>
      <w:r>
        <w:t xml:space="preserve"> начислены: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734"/>
        <w:gridCol w:w="1881"/>
        <w:gridCol w:w="1488"/>
        <w:gridCol w:w="1418"/>
      </w:tblGrid>
      <w:tr w:rsidR="009354EE" w:rsidRPr="009354EE" w:rsidTr="00FC75B7">
        <w:trPr>
          <w:trHeight w:val="120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54EE" w:rsidRPr="009354EE" w:rsidRDefault="009354EE" w:rsidP="009354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EE" w:rsidRPr="009354EE" w:rsidRDefault="009354EE" w:rsidP="009354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количество муниципальных образований, всего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EE" w:rsidRPr="009354EE" w:rsidRDefault="009354EE" w:rsidP="007656B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количество </w:t>
            </w:r>
            <w:proofErr w:type="spellStart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мо</w:t>
            </w:r>
            <w:proofErr w:type="spellEnd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, которым начислены </w:t>
            </w:r>
            <w:r w:rsidR="0017034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штрафы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EE" w:rsidRPr="009354EE" w:rsidRDefault="009354EE" w:rsidP="0017034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Начисленные штрафы, в </w:t>
            </w:r>
            <w:proofErr w:type="spellStart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тыс</w:t>
            </w:r>
            <w:proofErr w:type="gramStart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.р</w:t>
            </w:r>
            <w:proofErr w:type="gramEnd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уб</w:t>
            </w:r>
            <w:proofErr w:type="spellEnd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4EE" w:rsidRPr="009354EE" w:rsidRDefault="009354EE" w:rsidP="009354E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доля в общем об</w:t>
            </w:r>
            <w:r w:rsidR="00170341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ъ</w:t>
            </w: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еме начисленных штрафов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Бокситогорский</w:t>
            </w:r>
            <w:proofErr w:type="spellEnd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Волосовский</w:t>
            </w:r>
            <w:proofErr w:type="spellEnd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2 316,2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3,64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Волховский</w:t>
            </w:r>
            <w:proofErr w:type="spellEnd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1 187,1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1,87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Всеволожский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3 259,2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5,12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Выборгский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7 529,9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11,83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Гатчинский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3 842,7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6,04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Кингисеппский</w:t>
            </w:r>
            <w:proofErr w:type="spellEnd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2 610,6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4,10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Киришский</w:t>
            </w:r>
            <w:proofErr w:type="spellEnd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1 957,1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3,08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Кировский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5,20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Лодейнопольский</w:t>
            </w:r>
            <w:proofErr w:type="spellEnd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0,79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Ломоносовский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1,35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Лужский</w:t>
            </w:r>
            <w:proofErr w:type="spellEnd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15 073,3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23,69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Подпорожский</w:t>
            </w:r>
            <w:proofErr w:type="spellEnd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0,02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Приозерский</w:t>
            </w:r>
            <w:proofErr w:type="spellEnd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5 640,4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8,86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Сланцевский</w:t>
            </w:r>
            <w:proofErr w:type="spellEnd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1 180,5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1,86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Тихвинский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8 746,7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13,74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Тосненский</w:t>
            </w:r>
            <w:proofErr w:type="spellEnd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4 303,7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6,76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Сосновоборский</w:t>
            </w:r>
            <w:proofErr w:type="spellEnd"/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1 310,2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2,06</w:t>
            </w:r>
          </w:p>
        </w:tc>
      </w:tr>
      <w:tr w:rsidR="009354EE" w:rsidRPr="009354EE" w:rsidTr="009354E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63 637,8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4EE" w:rsidRPr="009354EE" w:rsidRDefault="009354EE" w:rsidP="009354E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354EE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100,00</w:t>
            </w:r>
          </w:p>
        </w:tc>
      </w:tr>
    </w:tbl>
    <w:p w:rsidR="003B006B" w:rsidRDefault="00D86492" w:rsidP="003B006B">
      <w:pPr>
        <w:ind w:firstLine="567"/>
        <w:jc w:val="both"/>
      </w:pPr>
      <w:r>
        <w:t xml:space="preserve">Следует отметить работу </w:t>
      </w:r>
      <w:proofErr w:type="spellStart"/>
      <w:r>
        <w:t>Бокситогорского</w:t>
      </w:r>
      <w:proofErr w:type="spellEnd"/>
      <w:r>
        <w:t xml:space="preserve"> муниципального района</w:t>
      </w:r>
      <w:r w:rsidRPr="00D86492">
        <w:t xml:space="preserve"> </w:t>
      </w:r>
      <w:r>
        <w:t>(как администрации самого района, так и</w:t>
      </w:r>
      <w:r w:rsidRPr="00D86492">
        <w:t xml:space="preserve"> </w:t>
      </w:r>
      <w:r>
        <w:t xml:space="preserve">администраций поселений), по которому единственному отсутствуют начисленные штрафы </w:t>
      </w:r>
      <w:r w:rsidRPr="009354EE">
        <w:t xml:space="preserve">в связи с </w:t>
      </w:r>
      <w:proofErr w:type="spellStart"/>
      <w:r w:rsidRPr="009354EE">
        <w:t>недостижением</w:t>
      </w:r>
      <w:proofErr w:type="spellEnd"/>
      <w:r w:rsidRPr="009354EE">
        <w:t xml:space="preserve"> целевых показателей результативности</w:t>
      </w:r>
      <w:r>
        <w:t>.</w:t>
      </w:r>
    </w:p>
    <w:p w:rsidR="00D86492" w:rsidRDefault="00D86492" w:rsidP="003B006B">
      <w:pPr>
        <w:ind w:firstLine="567"/>
        <w:jc w:val="both"/>
      </w:pPr>
      <w:r>
        <w:t xml:space="preserve">Наибольшая сумма штрафов сложилась в </w:t>
      </w:r>
      <w:proofErr w:type="spellStart"/>
      <w:r>
        <w:t>Лужском</w:t>
      </w:r>
      <w:proofErr w:type="spellEnd"/>
      <w:r>
        <w:t>, Тихвинском и Выборгском муниципальных районах.</w:t>
      </w:r>
    </w:p>
    <w:p w:rsidR="00AC1EC1" w:rsidRDefault="00AC1EC1" w:rsidP="00AC1EC1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7611F7">
        <w:rPr>
          <w:rFonts w:eastAsia="Times New Roman" w:cs="Times New Roman"/>
          <w:szCs w:val="28"/>
          <w:lang w:eastAsia="ru-RU"/>
        </w:rPr>
        <w:t xml:space="preserve">Среди  основных  причин  </w:t>
      </w:r>
      <w:proofErr w:type="spellStart"/>
      <w:r w:rsidRPr="007611F7">
        <w:rPr>
          <w:rFonts w:eastAsia="Times New Roman" w:cs="Times New Roman"/>
          <w:szCs w:val="28"/>
          <w:lang w:eastAsia="ru-RU"/>
        </w:rPr>
        <w:t>недостижения</w:t>
      </w:r>
      <w:proofErr w:type="spellEnd"/>
      <w:r w:rsidRPr="007611F7">
        <w:rPr>
          <w:rFonts w:eastAsia="Times New Roman" w:cs="Times New Roman"/>
          <w:szCs w:val="28"/>
          <w:lang w:eastAsia="ru-RU"/>
        </w:rPr>
        <w:t xml:space="preserve">  целевых показателей  результативности использования  субсидий  главные распорядители средств областного бюджета указали неисполнение условий муниципальных контрактов</w:t>
      </w:r>
      <w:r w:rsidR="005D497C">
        <w:rPr>
          <w:rFonts w:eastAsia="Times New Roman" w:cs="Times New Roman"/>
          <w:szCs w:val="28"/>
          <w:lang w:eastAsia="ru-RU"/>
        </w:rPr>
        <w:t>,</w:t>
      </w:r>
      <w:r w:rsidRPr="007611F7">
        <w:rPr>
          <w:rFonts w:eastAsia="Times New Roman" w:cs="Times New Roman"/>
          <w:szCs w:val="28"/>
          <w:lang w:eastAsia="ru-RU"/>
        </w:rPr>
        <w:t xml:space="preserve"> несвоевременное  заключение контрактов, некачественную подготовку документации, длительные сроки прохождения </w:t>
      </w:r>
      <w:proofErr w:type="spellStart"/>
      <w:r w:rsidRPr="007611F7">
        <w:rPr>
          <w:rFonts w:eastAsia="Times New Roman" w:cs="Times New Roman"/>
          <w:szCs w:val="28"/>
          <w:lang w:eastAsia="ru-RU"/>
        </w:rPr>
        <w:t>госэкспертизы</w:t>
      </w:r>
      <w:proofErr w:type="spellEnd"/>
      <w:r w:rsidRPr="007611F7">
        <w:rPr>
          <w:rFonts w:eastAsia="Times New Roman" w:cs="Times New Roman"/>
          <w:szCs w:val="28"/>
          <w:lang w:eastAsia="ru-RU"/>
        </w:rPr>
        <w:t xml:space="preserve"> проектно-сметной документации.</w:t>
      </w:r>
    </w:p>
    <w:p w:rsidR="00AC1EC1" w:rsidRDefault="00AC1EC1" w:rsidP="003B006B">
      <w:pPr>
        <w:ind w:firstLine="567"/>
        <w:jc w:val="both"/>
      </w:pPr>
      <w:r>
        <w:rPr>
          <w:rFonts w:eastAsia="Times New Roman" w:cs="Times New Roman"/>
          <w:szCs w:val="28"/>
          <w:lang w:eastAsia="ru-RU"/>
        </w:rPr>
        <w:t xml:space="preserve">Заключение об освобождении от применения мер воздействия представлено только от комитета по дорожному хозяйству. Так, по субсидии на реализацию мероприятий федеральной целевой программы «Устойчивое развитие сельских территорий на 2014-2017 годы и на период до 2020 года»  </w:t>
      </w:r>
      <w:r w:rsidR="005D497C">
        <w:rPr>
          <w:rFonts w:eastAsia="Times New Roman" w:cs="Times New Roman"/>
          <w:szCs w:val="28"/>
          <w:lang w:eastAsia="ru-RU"/>
        </w:rPr>
        <w:t xml:space="preserve">разрешение на ввод объекта в эксплуатацию </w:t>
      </w:r>
      <w:proofErr w:type="spellStart"/>
      <w:r w:rsidR="005D497C">
        <w:rPr>
          <w:rFonts w:eastAsia="Times New Roman" w:cs="Times New Roman"/>
          <w:szCs w:val="28"/>
          <w:lang w:eastAsia="ru-RU"/>
        </w:rPr>
        <w:t>Каменногорским</w:t>
      </w:r>
      <w:proofErr w:type="spellEnd"/>
      <w:r w:rsidR="005D497C">
        <w:rPr>
          <w:rFonts w:eastAsia="Times New Roman" w:cs="Times New Roman"/>
          <w:szCs w:val="28"/>
          <w:lang w:eastAsia="ru-RU"/>
        </w:rPr>
        <w:t xml:space="preserve"> городским поселением Выборгского района получено не в 2017 году, а уже в 2018 году (16.01.2018). В </w:t>
      </w:r>
      <w:proofErr w:type="gramStart"/>
      <w:r w:rsidR="005D497C">
        <w:rPr>
          <w:rFonts w:eastAsia="Times New Roman" w:cs="Times New Roman"/>
          <w:szCs w:val="28"/>
          <w:lang w:eastAsia="ru-RU"/>
        </w:rPr>
        <w:t>связи</w:t>
      </w:r>
      <w:proofErr w:type="gramEnd"/>
      <w:r w:rsidR="005D497C">
        <w:rPr>
          <w:rFonts w:eastAsia="Times New Roman" w:cs="Times New Roman"/>
          <w:szCs w:val="28"/>
          <w:lang w:eastAsia="ru-RU"/>
        </w:rPr>
        <w:t xml:space="preserve"> с чем </w:t>
      </w:r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недостижение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целевого показателя результативности </w:t>
      </w:r>
      <w:proofErr w:type="spellStart"/>
      <w:r>
        <w:rPr>
          <w:rFonts w:eastAsia="Times New Roman" w:cs="Times New Roman"/>
          <w:szCs w:val="28"/>
          <w:lang w:eastAsia="ru-RU"/>
        </w:rPr>
        <w:t>Каменногорское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городское поселение </w:t>
      </w:r>
      <w:r w:rsidR="006C2090">
        <w:rPr>
          <w:rFonts w:eastAsia="Times New Roman" w:cs="Times New Roman"/>
          <w:szCs w:val="28"/>
          <w:lang w:eastAsia="ru-RU"/>
        </w:rPr>
        <w:t>начислен штраф</w:t>
      </w:r>
      <w:r>
        <w:rPr>
          <w:rFonts w:eastAsia="Times New Roman" w:cs="Times New Roman"/>
          <w:szCs w:val="28"/>
          <w:lang w:eastAsia="ru-RU"/>
        </w:rPr>
        <w:t xml:space="preserve"> в сумме 1 191,3 тыс. руб. </w:t>
      </w:r>
    </w:p>
    <w:p w:rsidR="00105C49" w:rsidRDefault="00576C4F" w:rsidP="003B006B">
      <w:pPr>
        <w:ind w:firstLine="567"/>
        <w:jc w:val="both"/>
      </w:pPr>
      <w:r>
        <w:t xml:space="preserve">Объемы начисленных штрафов по </w:t>
      </w:r>
      <w:r w:rsidRPr="002D1950">
        <w:t>муниципальны</w:t>
      </w:r>
      <w:r>
        <w:t>м</w:t>
      </w:r>
      <w:r w:rsidRPr="002D1950">
        <w:t xml:space="preserve"> образования</w:t>
      </w:r>
      <w:r>
        <w:t>м в разрезе ГРБС представлены в следующей таблице.</w:t>
      </w:r>
    </w:p>
    <w:p w:rsidR="00576C4F" w:rsidRDefault="00576C4F" w:rsidP="003B006B">
      <w:pPr>
        <w:ind w:firstLine="567"/>
        <w:jc w:val="both"/>
      </w:pPr>
    </w:p>
    <w:p w:rsidR="002D38D7" w:rsidRDefault="002D38D7" w:rsidP="002D38D7">
      <w:pPr>
        <w:pageBreakBefore/>
        <w:ind w:firstLine="567"/>
        <w:jc w:val="both"/>
        <w:sectPr w:rsidR="002D38D7" w:rsidSect="00576C4F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76C4F" w:rsidRDefault="002D38D7" w:rsidP="002D38D7">
      <w:pPr>
        <w:pageBreakBefore/>
        <w:ind w:firstLine="567"/>
        <w:jc w:val="right"/>
      </w:pPr>
      <w:proofErr w:type="spellStart"/>
      <w:r>
        <w:lastRenderedPageBreak/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79"/>
        <w:gridCol w:w="1465"/>
        <w:gridCol w:w="1842"/>
        <w:gridCol w:w="1418"/>
        <w:gridCol w:w="1276"/>
        <w:gridCol w:w="1134"/>
        <w:gridCol w:w="1134"/>
        <w:gridCol w:w="1818"/>
        <w:gridCol w:w="1301"/>
      </w:tblGrid>
      <w:tr w:rsidR="00576C4F" w:rsidRPr="00576C4F" w:rsidTr="002D38D7">
        <w:trPr>
          <w:trHeight w:val="1658"/>
          <w:tblHeader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Комитет по агропромышленному и </w:t>
            </w: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рыбохозяйственному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комплексу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Комитет по дорожному хозяйству Ленинградской области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жилищно-коммунальному хозяйству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культуре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строительству Ленинградской области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Общий итог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Волосовский</w:t>
            </w:r>
            <w:proofErr w:type="spellEnd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1 814,3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346,1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2 316,2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Большеврудское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713,4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Волосовский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1 100,9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Зимитицкое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121,7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121,7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Калитинское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149,9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Кикеринское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5,9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Сельцовское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224,4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224,4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Волховский</w:t>
            </w:r>
            <w:proofErr w:type="spellEnd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578,2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214,9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1 187,1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Волховское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518,6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518,6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Иссадское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19,3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Колчановское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45,1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Новоладожское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214,9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233,0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Свирицкое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356,5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Староладожское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14,6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Всеволожский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2 503,3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3 259,2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Всеволожский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550,1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550,1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Дубровское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0,8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Колтушское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5,1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Романовское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1 953,2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1 953,2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Сертоловское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750,0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Выборгский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6 912,4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58,6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7 529,9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Выборгский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2 086,2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2 086,2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Выборгское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58,6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68,4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Каменногорское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1 191,3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1 191,4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Рощинское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558,8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Советское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3 625,1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Гатчинский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1 225,7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3 842,7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Гатчинский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675,8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679,9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Гатчинское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2 612,9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480,7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3 093,6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Коммунарское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69,2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69,2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Кингисеппский</w:t>
            </w:r>
            <w:proofErr w:type="spellEnd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2 284,1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273,4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2 610,6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Ивангородское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1 865,1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1 865,1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Кингисеппский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419,0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425,0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Котельское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20,7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Кузёмкинское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273,4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273,4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Опольевское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22,9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Усть-Лужское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3,5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Киришский</w:t>
            </w:r>
            <w:proofErr w:type="spellEnd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1 957,1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Киришское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1 957,1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1 957,1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Кировский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2 296,5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1 012,0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3 308,5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Отрадненское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1 370,3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1 012,0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2 382,3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Путиловское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926,2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Лодейнопольский</w:t>
            </w:r>
            <w:proofErr w:type="spellEnd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муниципальный </w:t>
            </w: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455,4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502,3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Доможировское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46,9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Лодейнопольское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455,4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455,4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Ломоносовский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462,0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283,1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856,1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Аннинское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462,0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462,0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Горбунковское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283,1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283,1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Кипенское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14,2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Копорское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1,7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Лопухинское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7,6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gram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Русско-Высоцкое</w:t>
            </w:r>
            <w:proofErr w:type="gram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87,5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Лужский</w:t>
            </w:r>
            <w:proofErr w:type="spellEnd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12 812,9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1 088,5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15 073,3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Лужский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11 482,9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12 449,4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Лужское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201,9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Осьминское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524,3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524,3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Серебрянское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564,2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567,7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Скребловское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1 330,0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1 330,0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Подпорожский</w:t>
            </w:r>
            <w:proofErr w:type="spellEnd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13,3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Подпорожский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13,3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Приозерский</w:t>
            </w:r>
            <w:proofErr w:type="spellEnd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1 992,5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5 640,4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Кузнечнинское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841,2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Ларионовское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397,4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397,4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Петровское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398,9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398,9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Приозерский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654,0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3 131,9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Приозерское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328,8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Раздольевское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542,2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542,2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Сланцевский</w:t>
            </w:r>
            <w:proofErr w:type="spellEnd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26,1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1 180,5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Сланцевский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28,3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Сланцевское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1 126,1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26,1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1 152,2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Сосновоборский</w:t>
            </w:r>
            <w:proofErr w:type="spellEnd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1 310,2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1 310,2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Сосновоборский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городской округ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1 310,2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1 310,2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Тихвинский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5 171,8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3 497,4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8 746,7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Борское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77,5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Тихвинское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5 171,8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3 497,4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8 669,2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Тосненский</w:t>
            </w:r>
            <w:proofErr w:type="spellEnd"/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1 556,3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237,4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4 303,7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Любанское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городское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2 510,0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1 040,4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112,7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3 663,1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Тосненский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муниципальный район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124,7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124,7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ind w:firstLineChars="100" w:firstLine="22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proofErr w:type="spellStart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Фёдоровское</w:t>
            </w:r>
            <w:proofErr w:type="spellEnd"/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сельское поселение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515,9</w:t>
            </w:r>
          </w:p>
        </w:tc>
      </w:tr>
      <w:tr w:rsidR="00576C4F" w:rsidRPr="00576C4F" w:rsidTr="002D38D7">
        <w:trPr>
          <w:trHeight w:val="300"/>
        </w:trPr>
        <w:tc>
          <w:tcPr>
            <w:tcW w:w="4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76C4F" w:rsidRPr="00576C4F" w:rsidRDefault="00576C4F" w:rsidP="00576C4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Общий итог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54,2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21 638,8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12 327,6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27 491,7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1 859,9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576C4F" w:rsidRPr="00576C4F" w:rsidRDefault="00576C4F" w:rsidP="00576C4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576C4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63 637,8</w:t>
            </w:r>
          </w:p>
        </w:tc>
      </w:tr>
    </w:tbl>
    <w:p w:rsidR="00F4251A" w:rsidRDefault="00F4251A" w:rsidP="00650BF9">
      <w:pPr>
        <w:jc w:val="both"/>
      </w:pPr>
    </w:p>
    <w:p w:rsidR="00105C49" w:rsidRDefault="00105C49" w:rsidP="00650BF9">
      <w:pPr>
        <w:jc w:val="both"/>
      </w:pPr>
    </w:p>
    <w:p w:rsidR="00105C49" w:rsidRDefault="00105C49" w:rsidP="00650BF9">
      <w:pPr>
        <w:jc w:val="both"/>
      </w:pPr>
    </w:p>
    <w:sectPr w:rsidR="00105C49" w:rsidSect="002D38D7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4F"/>
    <w:rsid w:val="000262F5"/>
    <w:rsid w:val="00030F5E"/>
    <w:rsid w:val="000F3161"/>
    <w:rsid w:val="00105C49"/>
    <w:rsid w:val="00170341"/>
    <w:rsid w:val="0025240B"/>
    <w:rsid w:val="00281093"/>
    <w:rsid w:val="002D38D7"/>
    <w:rsid w:val="00302C7D"/>
    <w:rsid w:val="00333139"/>
    <w:rsid w:val="00396E61"/>
    <w:rsid w:val="003B006B"/>
    <w:rsid w:val="00425D59"/>
    <w:rsid w:val="00456975"/>
    <w:rsid w:val="00470DD0"/>
    <w:rsid w:val="00480B23"/>
    <w:rsid w:val="00503A1F"/>
    <w:rsid w:val="00505A4F"/>
    <w:rsid w:val="00576C4F"/>
    <w:rsid w:val="005D497C"/>
    <w:rsid w:val="00601CA9"/>
    <w:rsid w:val="00650BF9"/>
    <w:rsid w:val="006C2090"/>
    <w:rsid w:val="00721B87"/>
    <w:rsid w:val="007656BA"/>
    <w:rsid w:val="007D598E"/>
    <w:rsid w:val="009354EE"/>
    <w:rsid w:val="009E6EAD"/>
    <w:rsid w:val="00A32AAB"/>
    <w:rsid w:val="00AC0EDA"/>
    <w:rsid w:val="00AC1EC1"/>
    <w:rsid w:val="00B668DC"/>
    <w:rsid w:val="00B8483E"/>
    <w:rsid w:val="00BB3F32"/>
    <w:rsid w:val="00BF3625"/>
    <w:rsid w:val="00C50282"/>
    <w:rsid w:val="00CD21B1"/>
    <w:rsid w:val="00CE59FF"/>
    <w:rsid w:val="00D624AF"/>
    <w:rsid w:val="00D733B7"/>
    <w:rsid w:val="00D766AB"/>
    <w:rsid w:val="00D86492"/>
    <w:rsid w:val="00DE2997"/>
    <w:rsid w:val="00E312D7"/>
    <w:rsid w:val="00E67518"/>
    <w:rsid w:val="00ED262F"/>
    <w:rsid w:val="00ED4C0F"/>
    <w:rsid w:val="00F4251A"/>
    <w:rsid w:val="00FC6A7F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FD20-634F-403C-92A9-09D5AFDC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Ивашкевич Ирина Иосифовна</cp:lastModifiedBy>
  <cp:revision>3</cp:revision>
  <cp:lastPrinted>2018-04-24T14:53:00Z</cp:lastPrinted>
  <dcterms:created xsi:type="dcterms:W3CDTF">2018-04-25T15:27:00Z</dcterms:created>
  <dcterms:modified xsi:type="dcterms:W3CDTF">2018-04-25T15:27:00Z</dcterms:modified>
</cp:coreProperties>
</file>