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75" w:rsidRPr="006171C8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20C75" w:rsidRPr="006171C8">
        <w:rPr>
          <w:rFonts w:ascii="Times New Roman" w:hAnsi="Times New Roman"/>
          <w:b/>
          <w:sz w:val="28"/>
          <w:szCs w:val="28"/>
        </w:rPr>
        <w:t>оклад</w:t>
      </w:r>
    </w:p>
    <w:p w:rsidR="003E2A60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71C8">
        <w:rPr>
          <w:rFonts w:ascii="Times New Roman" w:hAnsi="Times New Roman"/>
          <w:b/>
          <w:sz w:val="28"/>
          <w:szCs w:val="28"/>
        </w:rPr>
        <w:t>о результатах мониторинга качества финансового менеджмента</w:t>
      </w:r>
    </w:p>
    <w:p w:rsidR="00020C75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71C8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:rsidR="006171C8" w:rsidRPr="006171C8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sz w:val="28"/>
          <w:szCs w:val="28"/>
        </w:rPr>
      </w:pP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>Комитетом финансов Ленинградской области в соответствии со статьей 160.2</w:t>
      </w:r>
      <w:r w:rsidRPr="006171C8">
        <w:rPr>
          <w:rFonts w:ascii="Times New Roman" w:hAnsi="Times New Roman"/>
          <w:sz w:val="28"/>
          <w:szCs w:val="28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r w:rsidR="008108BE" w:rsidRPr="006171C8">
        <w:rPr>
          <w:rFonts w:ascii="Times New Roman" w:hAnsi="Times New Roman"/>
          <w:sz w:val="28"/>
          <w:szCs w:val="28"/>
        </w:rPr>
        <w:t xml:space="preserve">43 </w:t>
      </w:r>
      <w:r w:rsidRPr="006171C8">
        <w:rPr>
          <w:rFonts w:ascii="Times New Roman" w:hAnsi="Times New Roman"/>
          <w:sz w:val="28"/>
          <w:szCs w:val="28"/>
        </w:rPr>
        <w:t xml:space="preserve">главных администраторов средств областного бюджета Ленинградской области (далее – ГАБС) за </w:t>
      </w:r>
      <w:r w:rsidR="008108BE" w:rsidRPr="006171C8">
        <w:rPr>
          <w:rFonts w:ascii="Times New Roman" w:hAnsi="Times New Roman"/>
          <w:sz w:val="28"/>
          <w:szCs w:val="28"/>
        </w:rPr>
        <w:t>2020</w:t>
      </w:r>
      <w:r w:rsidRPr="006171C8">
        <w:rPr>
          <w:rFonts w:ascii="Times New Roman" w:hAnsi="Times New Roman"/>
          <w:sz w:val="28"/>
          <w:szCs w:val="28"/>
        </w:rPr>
        <w:t xml:space="preserve"> год.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8108BE" w:rsidRPr="006171C8">
        <w:rPr>
          <w:rFonts w:ascii="Times New Roman" w:hAnsi="Times New Roman"/>
          <w:sz w:val="28"/>
          <w:szCs w:val="28"/>
        </w:rPr>
        <w:t>18</w:t>
      </w:r>
      <w:r w:rsidRPr="006171C8">
        <w:rPr>
          <w:rFonts w:ascii="Times New Roman" w:hAnsi="Times New Roman"/>
          <w:sz w:val="28"/>
          <w:szCs w:val="28"/>
        </w:rPr>
        <w:t xml:space="preserve"> ГАБС была присвоена </w:t>
      </w:r>
      <w:r w:rsidRPr="006171C8">
        <w:rPr>
          <w:rFonts w:ascii="Times New Roman" w:hAnsi="Times New Roman"/>
          <w:sz w:val="28"/>
          <w:szCs w:val="28"/>
          <w:lang w:val="en-US"/>
        </w:rPr>
        <w:t>I</w:t>
      </w:r>
      <w:r w:rsidRPr="006171C8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По сравнению с предыдущим годом число ГАБС с высоким качеством финансового менеджмента уменьшилось на </w:t>
      </w:r>
      <w:r w:rsidR="008108BE" w:rsidRPr="006171C8">
        <w:rPr>
          <w:rFonts w:ascii="Times New Roman" w:hAnsi="Times New Roman"/>
          <w:sz w:val="28"/>
          <w:szCs w:val="28"/>
        </w:rPr>
        <w:t>1</w:t>
      </w:r>
      <w:r w:rsidRPr="006171C8">
        <w:rPr>
          <w:rFonts w:ascii="Times New Roman" w:hAnsi="Times New Roman"/>
          <w:sz w:val="28"/>
          <w:szCs w:val="28"/>
        </w:rPr>
        <w:t xml:space="preserve"> ГАБС.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 (высокое качество)</w:t>
      </w: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C31488" w:rsidRPr="006171C8" w:rsidTr="007D399C">
        <w:tc>
          <w:tcPr>
            <w:tcW w:w="1101" w:type="dxa"/>
          </w:tcPr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213" w:type="dxa"/>
          </w:tcPr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Контрольно-ревизионный комитет Губернатора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по печати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Архивное управление Ленинградской области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B12CE0" w:rsidRPr="006171C8" w:rsidTr="005E0EBC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8108B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  <w:vAlign w:val="bottom"/>
          </w:tcPr>
          <w:p w:rsidR="00B12CE0" w:rsidRPr="006171C8" w:rsidRDefault="00E160CF" w:rsidP="009044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</w:t>
            </w:r>
            <w:r w:rsidR="00B12CE0" w:rsidRPr="006171C8">
              <w:rPr>
                <w:color w:val="000000"/>
                <w:sz w:val="28"/>
                <w:szCs w:val="28"/>
              </w:rPr>
              <w:t xml:space="preserve"> Ленинградской области по транспорту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Контрольно-счетная палата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Законодательное собрание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B12CE0" w:rsidRPr="006171C8" w:rsidTr="00853836">
        <w:tc>
          <w:tcPr>
            <w:tcW w:w="1101" w:type="dxa"/>
          </w:tcPr>
          <w:p w:rsidR="00B12CE0" w:rsidRPr="006171C8" w:rsidRDefault="00B12CE0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3" w:type="dxa"/>
            <w:vAlign w:val="bottom"/>
          </w:tcPr>
          <w:p w:rsidR="00B12CE0" w:rsidRPr="006171C8" w:rsidRDefault="00B12CE0" w:rsidP="00904454">
            <w:pPr>
              <w:rPr>
                <w:color w:val="000000"/>
                <w:sz w:val="28"/>
                <w:szCs w:val="28"/>
              </w:rPr>
            </w:pPr>
            <w:r w:rsidRPr="006171C8">
              <w:rPr>
                <w:color w:val="000000"/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</w:tr>
    </w:tbl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Ненадлежащее качество финансового менеджмента выявлено у </w:t>
      </w:r>
      <w:r w:rsidR="00DA1BD3" w:rsidRPr="006171C8">
        <w:rPr>
          <w:rFonts w:ascii="Times New Roman" w:hAnsi="Times New Roman"/>
          <w:sz w:val="28"/>
          <w:szCs w:val="28"/>
        </w:rPr>
        <w:t>16</w:t>
      </w:r>
      <w:r w:rsidRPr="006171C8">
        <w:rPr>
          <w:rFonts w:ascii="Times New Roman" w:hAnsi="Times New Roman"/>
          <w:sz w:val="28"/>
          <w:szCs w:val="28"/>
        </w:rPr>
        <w:t xml:space="preserve"> ГАБС (таблица 2), что на </w:t>
      </w:r>
      <w:r w:rsidR="006D050E" w:rsidRPr="006171C8">
        <w:rPr>
          <w:rFonts w:ascii="Times New Roman" w:hAnsi="Times New Roman"/>
          <w:sz w:val="28"/>
          <w:szCs w:val="28"/>
        </w:rPr>
        <w:t>12</w:t>
      </w:r>
      <w:r w:rsidRPr="006171C8">
        <w:rPr>
          <w:rFonts w:ascii="Times New Roman" w:hAnsi="Times New Roman"/>
          <w:sz w:val="28"/>
          <w:szCs w:val="28"/>
        </w:rPr>
        <w:t xml:space="preserve"> </w:t>
      </w:r>
      <w:r w:rsidR="006D050E" w:rsidRPr="006171C8">
        <w:rPr>
          <w:rFonts w:ascii="Times New Roman" w:hAnsi="Times New Roman"/>
          <w:sz w:val="28"/>
          <w:szCs w:val="28"/>
        </w:rPr>
        <w:t>бол</w:t>
      </w:r>
      <w:r w:rsidRPr="006171C8">
        <w:rPr>
          <w:rFonts w:ascii="Times New Roman" w:hAnsi="Times New Roman"/>
          <w:sz w:val="28"/>
          <w:szCs w:val="28"/>
        </w:rPr>
        <w:t>ьше, чем в предыдущем году.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2. Перечень ГАБС, которым присвоена III степень качества финансового менеджмента (ненадлежащее качество)</w:t>
      </w: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C31488" w:rsidRPr="006171C8" w:rsidTr="007D399C">
        <w:tc>
          <w:tcPr>
            <w:tcW w:w="1101" w:type="dxa"/>
          </w:tcPr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213" w:type="dxa"/>
          </w:tcPr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C31488" w:rsidRPr="006171C8" w:rsidTr="006974C6">
        <w:tc>
          <w:tcPr>
            <w:tcW w:w="1101" w:type="dxa"/>
          </w:tcPr>
          <w:p w:rsidR="00614DF7" w:rsidRPr="006171C8" w:rsidRDefault="00614DF7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bottom"/>
          </w:tcPr>
          <w:p w:rsidR="00614DF7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C31488" w:rsidRPr="006171C8" w:rsidTr="006974C6">
        <w:tc>
          <w:tcPr>
            <w:tcW w:w="1101" w:type="dxa"/>
          </w:tcPr>
          <w:p w:rsidR="00E96CCA" w:rsidRPr="006171C8" w:rsidRDefault="00E96CCA" w:rsidP="008108BE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</w:tr>
      <w:tr w:rsidR="00C31488" w:rsidRPr="006171C8" w:rsidTr="006974C6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C31488" w:rsidRPr="006171C8" w:rsidTr="006974C6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C31488" w:rsidRPr="006171C8" w:rsidTr="006974C6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экономического развития и инвестиционной  деятельности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культуре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FE787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FE787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FE787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природным ресурсам 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FE787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6171C8">
              <w:rPr>
                <w:sz w:val="28"/>
                <w:szCs w:val="28"/>
              </w:rPr>
              <w:t>рыбохозяйственному</w:t>
            </w:r>
            <w:proofErr w:type="spellEnd"/>
            <w:r w:rsidRPr="006171C8"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31488" w:rsidRPr="006171C8" w:rsidTr="009768E8">
        <w:tc>
          <w:tcPr>
            <w:tcW w:w="1101" w:type="dxa"/>
          </w:tcPr>
          <w:p w:rsidR="00E96CCA" w:rsidRPr="006171C8" w:rsidRDefault="00E96CCA" w:rsidP="00FE787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</w:tr>
      <w:tr w:rsidR="00E96CCA" w:rsidRPr="006171C8" w:rsidTr="009768E8">
        <w:tc>
          <w:tcPr>
            <w:tcW w:w="1101" w:type="dxa"/>
          </w:tcPr>
          <w:p w:rsidR="00E96CCA" w:rsidRPr="006171C8" w:rsidRDefault="00E96CCA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  <w:vAlign w:val="bottom"/>
          </w:tcPr>
          <w:p w:rsidR="00E96CCA" w:rsidRPr="006171C8" w:rsidRDefault="00E96CCA" w:rsidP="00904454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</w:tr>
    </w:tbl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>Средняя оценка качества финансового менеджмента по всем ГАБС составила </w:t>
      </w:r>
      <w:r w:rsidR="00A53586" w:rsidRPr="006171C8">
        <w:rPr>
          <w:rFonts w:ascii="Times New Roman" w:hAnsi="Times New Roman"/>
          <w:sz w:val="28"/>
          <w:szCs w:val="28"/>
        </w:rPr>
        <w:t>78,5</w:t>
      </w:r>
      <w:r w:rsidRPr="006171C8">
        <w:rPr>
          <w:rFonts w:ascii="Times New Roman" w:hAnsi="Times New Roman"/>
          <w:sz w:val="28"/>
          <w:szCs w:val="28"/>
        </w:rPr>
        <w:t xml:space="preserve"> баллов, что на </w:t>
      </w:r>
      <w:r w:rsidR="00925E2A" w:rsidRPr="006171C8">
        <w:rPr>
          <w:rFonts w:ascii="Times New Roman" w:hAnsi="Times New Roman"/>
          <w:sz w:val="28"/>
          <w:szCs w:val="28"/>
        </w:rPr>
        <w:t>4,5 балла больше</w:t>
      </w:r>
      <w:r w:rsidRPr="006171C8">
        <w:rPr>
          <w:rFonts w:ascii="Times New Roman" w:hAnsi="Times New Roman"/>
          <w:sz w:val="28"/>
          <w:szCs w:val="28"/>
        </w:rPr>
        <w:t>, чем в предыдущем году.</w:t>
      </w:r>
    </w:p>
    <w:p w:rsidR="00846BB2" w:rsidRDefault="00846BB2" w:rsidP="00B053D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B053D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171C8">
        <w:rPr>
          <w:rFonts w:ascii="Times New Roman" w:hAnsi="Times New Roman"/>
          <w:sz w:val="28"/>
          <w:szCs w:val="28"/>
        </w:rPr>
        <w:t xml:space="preserve">В наибольшей степени смогли повысить качество финансового </w:t>
      </w:r>
      <w:r w:rsidR="00B053DF" w:rsidRPr="006171C8">
        <w:rPr>
          <w:rFonts w:ascii="Times New Roman" w:hAnsi="Times New Roman"/>
          <w:sz w:val="28"/>
          <w:szCs w:val="28"/>
        </w:rPr>
        <w:t>менеджмента следующие ГАБС:</w:t>
      </w:r>
      <w:proofErr w:type="gramEnd"/>
      <w:r w:rsidR="00B053DF" w:rsidRPr="006171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53DF" w:rsidRPr="006171C8">
        <w:rPr>
          <w:rFonts w:ascii="Times New Roman" w:hAnsi="Times New Roman"/>
          <w:sz w:val="28"/>
          <w:szCs w:val="28"/>
        </w:rPr>
        <w:t xml:space="preserve">Комитет градостроительной политики Ленинградской области, Комитет по местному самоуправлению, межнациональным и межконфессиональным отношениям Ленинградской области, Комитет государственного строительного надзора и государственной экспертизы Ленинградской области, Комитет по жилищно-коммунальному хозяйству Ленинградской области, Архивное управление Ленинградской области, Комитет по печати Ленинградской области, Управление делами Правительства Ленинградской области, </w:t>
      </w:r>
      <w:r w:rsidR="00E160CF">
        <w:rPr>
          <w:rFonts w:ascii="Times New Roman" w:hAnsi="Times New Roman"/>
          <w:sz w:val="28"/>
          <w:szCs w:val="28"/>
        </w:rPr>
        <w:t>Управление</w:t>
      </w:r>
      <w:r w:rsidR="00B053DF" w:rsidRPr="006171C8">
        <w:rPr>
          <w:rFonts w:ascii="Times New Roman" w:hAnsi="Times New Roman"/>
          <w:sz w:val="28"/>
          <w:szCs w:val="28"/>
        </w:rPr>
        <w:t xml:space="preserve"> Ленинградской области по транспорту, Избирательная комиссия Ленинградской области, Комитет финансов Ленинградской области </w:t>
      </w:r>
      <w:r w:rsidRPr="006171C8">
        <w:rPr>
          <w:rFonts w:ascii="Times New Roman" w:hAnsi="Times New Roman"/>
          <w:sz w:val="28"/>
          <w:szCs w:val="28"/>
        </w:rPr>
        <w:t>(таблица 3).</w:t>
      </w:r>
      <w:proofErr w:type="gramEnd"/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171C8">
        <w:rPr>
          <w:rFonts w:ascii="Times New Roman" w:hAnsi="Times New Roman"/>
          <w:sz w:val="28"/>
          <w:szCs w:val="28"/>
        </w:rPr>
        <w:t>Значимое снижение качества финансового менеджмента по сравнению с</w:t>
      </w:r>
      <w:r w:rsidR="001E1F51" w:rsidRPr="006171C8">
        <w:rPr>
          <w:rFonts w:ascii="Times New Roman" w:hAnsi="Times New Roman"/>
          <w:sz w:val="28"/>
          <w:szCs w:val="28"/>
        </w:rPr>
        <w:t xml:space="preserve"> предыдущим годом произошло в: Управлении ветеринарии Ленинградской области, Комитете Ленинградской области по туризму, Комитете экономического развития и инвестиционной  деятельности Ленинградской области, Комитете по социальной </w:t>
      </w:r>
      <w:r w:rsidR="001E1F51" w:rsidRPr="006171C8">
        <w:rPr>
          <w:rFonts w:ascii="Times New Roman" w:hAnsi="Times New Roman"/>
          <w:sz w:val="28"/>
          <w:szCs w:val="28"/>
        </w:rPr>
        <w:lastRenderedPageBreak/>
        <w:t>защите населения Ленинградской области, Ленинградском областном комитете по управлению государственным имуществом, Комитете по здравоохранению Ленинградской области, Комитете Ленинградской области по обращению с отходами, Комитете по развитию малого, среднего</w:t>
      </w:r>
      <w:proofErr w:type="gramEnd"/>
      <w:r w:rsidR="001E1F51" w:rsidRPr="006171C8">
        <w:rPr>
          <w:rFonts w:ascii="Times New Roman" w:hAnsi="Times New Roman"/>
          <w:sz w:val="28"/>
          <w:szCs w:val="28"/>
        </w:rPr>
        <w:t xml:space="preserve"> бизнеса и потребительского рынка Ленинградской области, Комитете по дорожному хозяйству Ленинградской области</w:t>
      </w:r>
      <w:r w:rsidRPr="006171C8">
        <w:rPr>
          <w:rFonts w:ascii="Times New Roman" w:hAnsi="Times New Roman"/>
          <w:sz w:val="28"/>
          <w:szCs w:val="28"/>
        </w:rPr>
        <w:t xml:space="preserve"> (таблица 3).</w:t>
      </w: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3. Интегральная оценка качества финансового менеджмента ГАБС</w:t>
      </w: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C31488" w:rsidRPr="006171C8" w:rsidTr="00846BB2">
        <w:tc>
          <w:tcPr>
            <w:tcW w:w="675" w:type="dxa"/>
            <w:vMerge w:val="restart"/>
          </w:tcPr>
          <w:p w:rsidR="00C31488" w:rsidRPr="006171C8" w:rsidRDefault="00C31488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C31488" w:rsidRPr="006171C8" w:rsidRDefault="00C31488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020C75" w:rsidRPr="006171C8" w:rsidRDefault="00020C75" w:rsidP="007D399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C31488" w:rsidRPr="006171C8" w:rsidTr="00846BB2">
        <w:tc>
          <w:tcPr>
            <w:tcW w:w="675" w:type="dxa"/>
            <w:vMerge/>
          </w:tcPr>
          <w:p w:rsidR="00020C75" w:rsidRPr="006171C8" w:rsidRDefault="00020C75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20C75" w:rsidRPr="006171C8" w:rsidRDefault="00020C75" w:rsidP="007D399C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0C75" w:rsidRPr="006171C8" w:rsidRDefault="00904454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020C75" w:rsidRPr="006171C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20C75" w:rsidRPr="006171C8" w:rsidRDefault="00904454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20C75" w:rsidRPr="006171C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020C75" w:rsidRPr="006171C8" w:rsidRDefault="00020C75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Оценка</w:t>
            </w:r>
          </w:p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не проводилась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73,2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+25,7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98,5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78,9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+19,6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финансов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81,5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+16,8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85,5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+9,5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92,9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71,6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+21,3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92,6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70,7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+21,9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92,3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76,8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+15,5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92,2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85,8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+6,4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C3148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:rsidR="00846BB2" w:rsidRPr="006171C8" w:rsidRDefault="00846BB2" w:rsidP="004735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93,80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-2,3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  <w:vAlign w:val="center"/>
          </w:tcPr>
          <w:p w:rsidR="00C3148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  <w:p w:rsidR="0047351D" w:rsidRPr="006171C8" w:rsidRDefault="0047351D" w:rsidP="004735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66,4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+24,1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C31488" w:rsidRPr="006171C8" w:rsidRDefault="00E160CF" w:rsidP="0047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C31488" w:rsidRPr="006171C8">
              <w:rPr>
                <w:sz w:val="28"/>
                <w:szCs w:val="28"/>
              </w:rPr>
              <w:t xml:space="preserve"> Ленинградской области по транспорту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88,4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69,0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+19,4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Контрольно-счетная палата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87,8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73,4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+14,4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80,71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+6,8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87,5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78,0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+9,5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87,4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79,8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+7,6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85,2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77,3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+7,9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85,2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73,30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+11,9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70,72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+12,7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молодежной политике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83,1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81,9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73,8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+8,1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69,8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+11,0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54,7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+25,8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70,0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+10,4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РФ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80,3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69,8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+10,5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77,9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65,6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+12,3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  <w:vAlign w:val="center"/>
          </w:tcPr>
          <w:p w:rsidR="00C3148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Избирательная комиссия Ленинградской области</w:t>
            </w:r>
          </w:p>
          <w:p w:rsidR="00846BB2" w:rsidRPr="006171C8" w:rsidRDefault="00846BB2" w:rsidP="004735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77,4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60,3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+17,1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66,9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60,0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+6,9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66,7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44,0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+22,7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66,7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85,9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-19,2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80,2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-13,7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65,6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91,1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-25,5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экономического развития и инвестиционной  деятельности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64,9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86,5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-21,6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63,9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75,4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-11,5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58,1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+4,3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62,3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79,7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-17,4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культуре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62,2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69,4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-7,2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59,7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78,0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-18,3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59,0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70,9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-11,9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по природным ресурсам 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59,0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62,7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-3,7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6171C8">
              <w:rPr>
                <w:sz w:val="28"/>
                <w:szCs w:val="28"/>
              </w:rPr>
              <w:t>рыбохозяйственному</w:t>
            </w:r>
            <w:proofErr w:type="spellEnd"/>
            <w:r w:rsidRPr="006171C8">
              <w:rPr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57,5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65,2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-7,7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57,2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94,7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-37,5</w:t>
            </w:r>
          </w:p>
        </w:tc>
      </w:tr>
      <w:tr w:rsidR="00C31488" w:rsidRPr="006171C8" w:rsidTr="00846BB2">
        <w:tc>
          <w:tcPr>
            <w:tcW w:w="675" w:type="dxa"/>
            <w:vAlign w:val="center"/>
          </w:tcPr>
          <w:p w:rsidR="00C31488" w:rsidRPr="006171C8" w:rsidRDefault="00C31488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vAlign w:val="center"/>
          </w:tcPr>
          <w:p w:rsidR="00C31488" w:rsidRPr="006171C8" w:rsidRDefault="00C31488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  <w:tc>
          <w:tcPr>
            <w:tcW w:w="1842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72,7</w:t>
            </w:r>
          </w:p>
        </w:tc>
        <w:tc>
          <w:tcPr>
            <w:tcW w:w="1573" w:type="dxa"/>
            <w:vAlign w:val="center"/>
          </w:tcPr>
          <w:p w:rsidR="00C31488" w:rsidRPr="006171C8" w:rsidRDefault="00C31488" w:rsidP="00904454">
            <w:pPr>
              <w:jc w:val="center"/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-16,7</w:t>
            </w:r>
          </w:p>
        </w:tc>
      </w:tr>
    </w:tbl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46BB2" w:rsidRDefault="00846BB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46BB2" w:rsidRDefault="00846BB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lastRenderedPageBreak/>
        <w:t>Наиболее низко качество финансового менеджмента ГАБС оценивается по следующим показателям (таблица 4):</w:t>
      </w:r>
    </w:p>
    <w:p w:rsidR="00713109" w:rsidRPr="006171C8" w:rsidRDefault="00713109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6171C8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4. Показатели качества финансового менеджмента с наибольшим числом ГАБС, </w:t>
      </w:r>
      <w:proofErr w:type="gramStart"/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>имеющих</w:t>
      </w:r>
      <w:proofErr w:type="gramEnd"/>
      <w:r w:rsidRPr="006171C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значения, соответствующие ненадлежащему качеству финансового менеджмента</w:t>
      </w:r>
    </w:p>
    <w:p w:rsidR="00713109" w:rsidRPr="006171C8" w:rsidRDefault="00713109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3260"/>
      </w:tblGrid>
      <w:tr w:rsidR="00904454" w:rsidRPr="006171C8" w:rsidTr="0047351D">
        <w:tc>
          <w:tcPr>
            <w:tcW w:w="675" w:type="dxa"/>
            <w:vMerge w:val="restart"/>
          </w:tcPr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379" w:type="dxa"/>
            <w:vMerge w:val="restart"/>
          </w:tcPr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Показатель КФМ</w:t>
            </w:r>
          </w:p>
        </w:tc>
        <w:tc>
          <w:tcPr>
            <w:tcW w:w="3260" w:type="dxa"/>
          </w:tcPr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Число ГАБС, </w:t>
            </w:r>
            <w:proofErr w:type="gramStart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>имеющих</w:t>
            </w:r>
            <w:proofErr w:type="gramEnd"/>
            <w:r w:rsidRPr="006171C8">
              <w:rPr>
                <w:rFonts w:ascii="Times New Roman" w:hAnsi="Times New Roman"/>
                <w:bCs/>
                <w:sz w:val="28"/>
                <w:szCs w:val="28"/>
              </w:rPr>
              <w:t xml:space="preserve"> ненадлежащее качество финансового менеджмента по показателю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</w:t>
            </w:r>
          </w:p>
        </w:tc>
      </w:tr>
      <w:tr w:rsidR="00904454" w:rsidRPr="006171C8" w:rsidTr="0047351D">
        <w:tc>
          <w:tcPr>
            <w:tcW w:w="675" w:type="dxa"/>
            <w:vMerge/>
          </w:tcPr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04454" w:rsidRPr="006171C8" w:rsidRDefault="00904454" w:rsidP="007D399C">
            <w:pPr>
              <w:pStyle w:val="Pro-Ta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4454" w:rsidRPr="006171C8" w:rsidRDefault="00904454" w:rsidP="007D399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Р45. 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04454" w:rsidRPr="006171C8" w:rsidTr="0047351D">
        <w:trPr>
          <w:trHeight w:val="635"/>
        </w:trPr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3260" w:type="dxa"/>
            <w:vAlign w:val="center"/>
          </w:tcPr>
          <w:p w:rsidR="005F733A" w:rsidRDefault="005F733A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Р17.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Р10.Соотношение кассовых расходов и плановых объемов бюджетных ассигнований ГАБС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04454" w:rsidRPr="006171C8" w:rsidRDefault="00904454" w:rsidP="0047351D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Р24.Процент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171C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171C8">
              <w:rPr>
                <w:rFonts w:ascii="Times New Roman" w:hAnsi="Times New Roman"/>
                <w:sz w:val="28"/>
                <w:szCs w:val="28"/>
              </w:rPr>
              <w:t>.Процент своевременно представленных ГАБС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Р11.Процент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3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</w:tcPr>
          <w:p w:rsidR="00904454" w:rsidRPr="006171C8" w:rsidRDefault="00904454" w:rsidP="0047351D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Р33. Процент фактического использования субсидий, предоставляемых местным бюджетам из областного бюджета Ленинградской области, администрируемых ГАБС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F73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4454" w:rsidRPr="006171C8" w:rsidTr="0047351D">
        <w:tc>
          <w:tcPr>
            <w:tcW w:w="675" w:type="dxa"/>
            <w:vAlign w:val="center"/>
          </w:tcPr>
          <w:p w:rsidR="00904454" w:rsidRPr="006171C8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04454" w:rsidRPr="006171C8" w:rsidRDefault="00904454" w:rsidP="005F733A">
            <w:pPr>
              <w:rPr>
                <w:sz w:val="28"/>
                <w:szCs w:val="28"/>
              </w:rPr>
            </w:pPr>
            <w:r w:rsidRPr="006171C8">
              <w:rPr>
                <w:sz w:val="28"/>
                <w:szCs w:val="28"/>
              </w:rPr>
              <w:t>Р20.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3260" w:type="dxa"/>
            <w:vAlign w:val="center"/>
          </w:tcPr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54" w:rsidRPr="005F733A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351D" w:rsidRDefault="0047351D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351D" w:rsidRDefault="0047351D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4454" w:rsidRPr="006F55C6" w:rsidRDefault="00904454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5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13109" w:rsidRPr="006171C8" w:rsidRDefault="00713109" w:rsidP="00713109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020C75" w:rsidRPr="006171C8" w:rsidRDefault="00713109" w:rsidP="00713109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* В связи с принятием </w:t>
      </w:r>
      <w:r w:rsidR="008D305E" w:rsidRPr="006171C8">
        <w:rPr>
          <w:rFonts w:ascii="Times New Roman" w:hAnsi="Times New Roman"/>
          <w:sz w:val="28"/>
          <w:szCs w:val="28"/>
        </w:rPr>
        <w:t xml:space="preserve">нового Порядка проведения оценки качества финансового менеджмента, начиная с оценки за 2020 год, показатели </w:t>
      </w:r>
      <w:r w:rsidR="005F733A">
        <w:rPr>
          <w:rFonts w:ascii="Times New Roman" w:hAnsi="Times New Roman"/>
          <w:sz w:val="28"/>
          <w:szCs w:val="28"/>
        </w:rPr>
        <w:t xml:space="preserve">КФМ </w:t>
      </w:r>
      <w:r w:rsidR="008D305E" w:rsidRPr="006171C8">
        <w:rPr>
          <w:rFonts w:ascii="Times New Roman" w:hAnsi="Times New Roman"/>
          <w:sz w:val="28"/>
          <w:szCs w:val="28"/>
        </w:rPr>
        <w:t>с предыдущим годом не сравниваются.</w:t>
      </w:r>
    </w:p>
    <w:p w:rsidR="00020C75" w:rsidRPr="006171C8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06F81" w:rsidRPr="006171C8" w:rsidRDefault="00906F81">
      <w:pPr>
        <w:rPr>
          <w:sz w:val="28"/>
          <w:szCs w:val="28"/>
        </w:rPr>
      </w:pPr>
    </w:p>
    <w:p w:rsidR="006A280A" w:rsidRPr="006171C8" w:rsidRDefault="006A280A">
      <w:pPr>
        <w:rPr>
          <w:sz w:val="28"/>
          <w:szCs w:val="28"/>
        </w:rPr>
      </w:pPr>
    </w:p>
    <w:sectPr w:rsidR="006A280A" w:rsidRPr="006171C8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073"/>
    <w:multiLevelType w:val="hybridMultilevel"/>
    <w:tmpl w:val="73E80FC0"/>
    <w:lvl w:ilvl="0" w:tplc="3E6034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2C4FA6"/>
    <w:multiLevelType w:val="hybridMultilevel"/>
    <w:tmpl w:val="CC7897A6"/>
    <w:lvl w:ilvl="0" w:tplc="D49CE9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A06B80"/>
    <w:multiLevelType w:val="hybridMultilevel"/>
    <w:tmpl w:val="8A6A766C"/>
    <w:lvl w:ilvl="0" w:tplc="FA16B80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5"/>
    <w:rsid w:val="00020C75"/>
    <w:rsid w:val="000B446C"/>
    <w:rsid w:val="000E21CF"/>
    <w:rsid w:val="000E2DF1"/>
    <w:rsid w:val="001E1F51"/>
    <w:rsid w:val="002E648E"/>
    <w:rsid w:val="00305345"/>
    <w:rsid w:val="003E2A60"/>
    <w:rsid w:val="0047351D"/>
    <w:rsid w:val="00592389"/>
    <w:rsid w:val="005F733A"/>
    <w:rsid w:val="00614DF7"/>
    <w:rsid w:val="006171C8"/>
    <w:rsid w:val="006A280A"/>
    <w:rsid w:val="006D050E"/>
    <w:rsid w:val="006D4ECA"/>
    <w:rsid w:val="006F55C6"/>
    <w:rsid w:val="00713109"/>
    <w:rsid w:val="007D5E16"/>
    <w:rsid w:val="00810431"/>
    <w:rsid w:val="008108BE"/>
    <w:rsid w:val="00846BB2"/>
    <w:rsid w:val="008D305E"/>
    <w:rsid w:val="008D618C"/>
    <w:rsid w:val="00904454"/>
    <w:rsid w:val="00906F81"/>
    <w:rsid w:val="00925E2A"/>
    <w:rsid w:val="00A53586"/>
    <w:rsid w:val="00B053DF"/>
    <w:rsid w:val="00B12CE0"/>
    <w:rsid w:val="00B600DA"/>
    <w:rsid w:val="00C31488"/>
    <w:rsid w:val="00DA1BD3"/>
    <w:rsid w:val="00E160CF"/>
    <w:rsid w:val="00E96CCA"/>
    <w:rsid w:val="00E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Павлова</dc:creator>
  <cp:lastModifiedBy>Елена Александровна Павлова</cp:lastModifiedBy>
  <cp:revision>25</cp:revision>
  <cp:lastPrinted>2021-04-23T07:54:00Z</cp:lastPrinted>
  <dcterms:created xsi:type="dcterms:W3CDTF">2021-04-20T11:21:00Z</dcterms:created>
  <dcterms:modified xsi:type="dcterms:W3CDTF">2021-04-23T11:10:00Z</dcterms:modified>
</cp:coreProperties>
</file>