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74" w:rsidRPr="00C34C74" w:rsidRDefault="00C34C74">
      <w:pPr>
        <w:pStyle w:val="ConsPlusTitle"/>
        <w:jc w:val="center"/>
        <w:outlineLvl w:val="0"/>
        <w:rPr>
          <w:rFonts w:ascii="Times New Roman" w:hAnsi="Times New Roman" w:cs="Times New Roman"/>
          <w:sz w:val="24"/>
          <w:szCs w:val="24"/>
        </w:rPr>
      </w:pPr>
      <w:bookmarkStart w:id="0" w:name="_GoBack"/>
      <w:bookmarkEnd w:id="0"/>
      <w:r w:rsidRPr="00C34C74">
        <w:rPr>
          <w:rFonts w:ascii="Times New Roman" w:hAnsi="Times New Roman" w:cs="Times New Roman"/>
          <w:sz w:val="24"/>
          <w:szCs w:val="24"/>
        </w:rPr>
        <w:t>ПРАВИТЕЛЬСТВО ЛЕНИНГРАДСКОЙ ОБЛАСТИ</w:t>
      </w:r>
    </w:p>
    <w:p w:rsidR="00C34C74" w:rsidRPr="00C34C74" w:rsidRDefault="00C34C74">
      <w:pPr>
        <w:pStyle w:val="ConsPlusTitle"/>
        <w:ind w:firstLine="540"/>
        <w:jc w:val="both"/>
        <w:rPr>
          <w:rFonts w:ascii="Times New Roman" w:hAnsi="Times New Roman" w:cs="Times New Roman"/>
          <w:sz w:val="24"/>
          <w:szCs w:val="24"/>
        </w:rPr>
      </w:pPr>
    </w:p>
    <w:p w:rsidR="00C34C74" w:rsidRPr="00C34C74" w:rsidRDefault="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ПОСТАНОВЛЕНИЕ</w:t>
      </w:r>
    </w:p>
    <w:p w:rsidR="00C34C74" w:rsidRPr="00C34C74" w:rsidRDefault="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от 17 февраля 2023 г. N 104</w:t>
      </w:r>
    </w:p>
    <w:p w:rsidR="00C34C74" w:rsidRPr="00C34C74" w:rsidRDefault="00C34C74">
      <w:pPr>
        <w:pStyle w:val="ConsPlusTitle"/>
        <w:ind w:firstLine="540"/>
        <w:jc w:val="both"/>
        <w:rPr>
          <w:rFonts w:ascii="Times New Roman" w:hAnsi="Times New Roman" w:cs="Times New Roman"/>
          <w:sz w:val="24"/>
          <w:szCs w:val="24"/>
        </w:rPr>
      </w:pPr>
    </w:p>
    <w:p w:rsidR="00C34C74" w:rsidRPr="00C34C74" w:rsidRDefault="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ОБ УТВЕРЖДЕНИИ БЮДЖЕТНОГО ПРОГНОЗА ЛЕНИНГРАДСКОЙ ОБЛАСТИ</w:t>
      </w:r>
    </w:p>
    <w:p w:rsidR="00C34C74" w:rsidRPr="00C34C74" w:rsidRDefault="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НА ПЕРИОД ДО 2034 ГОДА</w:t>
      </w:r>
    </w:p>
    <w:p w:rsidR="00C34C74" w:rsidRPr="00C34C74" w:rsidRDefault="00C34C74">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C34C74" w:rsidRPr="00C34C74">
        <w:tc>
          <w:tcPr>
            <w:tcW w:w="60" w:type="dxa"/>
            <w:tcBorders>
              <w:top w:val="nil"/>
              <w:left w:val="nil"/>
              <w:bottom w:val="nil"/>
              <w:right w:val="nil"/>
            </w:tcBorders>
            <w:shd w:val="clear" w:color="auto" w:fill="CED3F1"/>
            <w:tcMar>
              <w:top w:w="0" w:type="dxa"/>
              <w:left w:w="0" w:type="dxa"/>
              <w:bottom w:w="0" w:type="dxa"/>
              <w:right w:w="0" w:type="dxa"/>
            </w:tcMar>
          </w:tcPr>
          <w:p w:rsidR="00C34C74" w:rsidRPr="00C34C74" w:rsidRDefault="00C34C74">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34C74" w:rsidRPr="00C34C74" w:rsidRDefault="00C34C74">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4C74" w:rsidRPr="00C34C74" w:rsidRDefault="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Список изменяющих документов</w:t>
            </w:r>
          </w:p>
          <w:p w:rsidR="00C34C74" w:rsidRPr="00C34C74" w:rsidRDefault="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(в ред. Постановлений Правительства Ленинградской области</w:t>
            </w:r>
          </w:p>
          <w:p w:rsidR="00C34C74" w:rsidRPr="00C34C74" w:rsidRDefault="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 xml:space="preserve">от 07.02.2024 </w:t>
            </w:r>
            <w:hyperlink r:id="rId4">
              <w:r w:rsidRPr="00C34C74">
                <w:rPr>
                  <w:rFonts w:ascii="Times New Roman" w:hAnsi="Times New Roman" w:cs="Times New Roman"/>
                  <w:color w:val="0000FF"/>
                  <w:sz w:val="24"/>
                  <w:szCs w:val="24"/>
                </w:rPr>
                <w:t>N 85</w:t>
              </w:r>
            </w:hyperlink>
            <w:r w:rsidRPr="00C34C74">
              <w:rPr>
                <w:rFonts w:ascii="Times New Roman" w:hAnsi="Times New Roman" w:cs="Times New Roman"/>
                <w:color w:val="392C69"/>
                <w:sz w:val="24"/>
                <w:szCs w:val="24"/>
              </w:rPr>
              <w:t xml:space="preserve">, от 14.02.2025 </w:t>
            </w:r>
            <w:hyperlink r:id="rId5">
              <w:r w:rsidRPr="00C34C74">
                <w:rPr>
                  <w:rFonts w:ascii="Times New Roman" w:hAnsi="Times New Roman" w:cs="Times New Roman"/>
                  <w:color w:val="0000FF"/>
                  <w:sz w:val="24"/>
                  <w:szCs w:val="24"/>
                </w:rPr>
                <w:t>N 164</w:t>
              </w:r>
            </w:hyperlink>
            <w:r w:rsidRPr="00C34C74">
              <w:rPr>
                <w:rFonts w:ascii="Times New Roman" w:hAnsi="Times New Roman" w:cs="Times New Roman"/>
                <w:color w:val="392C69"/>
                <w:sz w:val="24"/>
                <w:szCs w:val="24"/>
              </w:rPr>
              <w:t xml:space="preserve">, от 13.02.2026 </w:t>
            </w:r>
            <w:hyperlink r:id="rId6">
              <w:r w:rsidRPr="00C34C74">
                <w:rPr>
                  <w:rFonts w:ascii="Times New Roman" w:hAnsi="Times New Roman" w:cs="Times New Roman"/>
                  <w:color w:val="0000FF"/>
                  <w:sz w:val="24"/>
                  <w:szCs w:val="24"/>
                </w:rPr>
                <w:t>N 130</w:t>
              </w:r>
            </w:hyperlink>
            <w:r w:rsidRPr="00C34C74">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4C74" w:rsidRPr="00C34C74" w:rsidRDefault="00C34C74">
            <w:pPr>
              <w:pStyle w:val="ConsPlusNormal"/>
              <w:rPr>
                <w:rFonts w:ascii="Times New Roman" w:hAnsi="Times New Roman" w:cs="Times New Roman"/>
                <w:sz w:val="24"/>
                <w:szCs w:val="24"/>
              </w:rPr>
            </w:pPr>
          </w:p>
        </w:tc>
      </w:tr>
    </w:tbl>
    <w:p w:rsidR="00C34C74" w:rsidRPr="00C34C74" w:rsidRDefault="00C34C74">
      <w:pPr>
        <w:pStyle w:val="ConsPlusNormal"/>
        <w:ind w:firstLine="540"/>
        <w:jc w:val="both"/>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В соответствии с </w:t>
      </w:r>
      <w:hyperlink r:id="rId7">
        <w:r w:rsidRPr="00C34C74">
          <w:rPr>
            <w:rFonts w:ascii="Times New Roman" w:hAnsi="Times New Roman" w:cs="Times New Roman"/>
            <w:color w:val="0000FF"/>
            <w:sz w:val="24"/>
            <w:szCs w:val="24"/>
          </w:rPr>
          <w:t>пунктом 6 статьи 170.1</w:t>
        </w:r>
      </w:hyperlink>
      <w:r w:rsidRPr="00C34C74">
        <w:rPr>
          <w:rFonts w:ascii="Times New Roman" w:hAnsi="Times New Roman" w:cs="Times New Roman"/>
          <w:sz w:val="24"/>
          <w:szCs w:val="24"/>
        </w:rPr>
        <w:t xml:space="preserve"> Бюджетного кодекса Российской Федерации и </w:t>
      </w:r>
      <w:hyperlink r:id="rId8">
        <w:r w:rsidRPr="00C34C74">
          <w:rPr>
            <w:rFonts w:ascii="Times New Roman" w:hAnsi="Times New Roman" w:cs="Times New Roman"/>
            <w:color w:val="0000FF"/>
            <w:sz w:val="24"/>
            <w:szCs w:val="24"/>
          </w:rPr>
          <w:t>постановлением</w:t>
        </w:r>
      </w:hyperlink>
      <w:r w:rsidRPr="00C34C74">
        <w:rPr>
          <w:rFonts w:ascii="Times New Roman" w:hAnsi="Times New Roman" w:cs="Times New Roman"/>
          <w:sz w:val="24"/>
          <w:szCs w:val="24"/>
        </w:rPr>
        <w:t xml:space="preserve"> Правительства Ленинградской области от 29 июня 2015 года N 246 "Об утверждении Порядка разработки и утверждения бюджетного прогноза Ленинградской области на долгосрочный период" Правительство Ленинградской области постановляет:</w:t>
      </w:r>
    </w:p>
    <w:p w:rsidR="00C34C74" w:rsidRPr="00C34C74" w:rsidRDefault="00C34C74" w:rsidP="00C34C74">
      <w:pPr>
        <w:pStyle w:val="ConsPlusNormal"/>
        <w:ind w:firstLine="540"/>
        <w:jc w:val="both"/>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1. Утвердить прилагаемый бюджетный </w:t>
      </w:r>
      <w:hyperlink w:anchor="P35">
        <w:r w:rsidRPr="00C34C74">
          <w:rPr>
            <w:rFonts w:ascii="Times New Roman" w:hAnsi="Times New Roman" w:cs="Times New Roman"/>
            <w:color w:val="0000FF"/>
            <w:sz w:val="24"/>
            <w:szCs w:val="24"/>
          </w:rPr>
          <w:t>прогноз</w:t>
        </w:r>
      </w:hyperlink>
      <w:r w:rsidRPr="00C34C74">
        <w:rPr>
          <w:rFonts w:ascii="Times New Roman" w:hAnsi="Times New Roman" w:cs="Times New Roman"/>
          <w:sz w:val="24"/>
          <w:szCs w:val="24"/>
        </w:rPr>
        <w:t xml:space="preserve"> Ленинградской области на период до 2034 года.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2. Признать утратившими силу:</w:t>
      </w:r>
    </w:p>
    <w:p w:rsidR="00C34C74" w:rsidRPr="00C34C74" w:rsidRDefault="004A182B" w:rsidP="00C34C74">
      <w:pPr>
        <w:pStyle w:val="ConsPlusNormal"/>
        <w:ind w:firstLine="540"/>
        <w:jc w:val="both"/>
        <w:rPr>
          <w:rFonts w:ascii="Times New Roman" w:hAnsi="Times New Roman" w:cs="Times New Roman"/>
          <w:sz w:val="24"/>
          <w:szCs w:val="24"/>
        </w:rPr>
      </w:pPr>
      <w:hyperlink r:id="rId9">
        <w:r w:rsidR="00C34C74" w:rsidRPr="00C34C74">
          <w:rPr>
            <w:rFonts w:ascii="Times New Roman" w:hAnsi="Times New Roman" w:cs="Times New Roman"/>
            <w:color w:val="0000FF"/>
            <w:sz w:val="24"/>
            <w:szCs w:val="24"/>
          </w:rPr>
          <w:t>постановление</w:t>
        </w:r>
      </w:hyperlink>
      <w:r w:rsidR="00C34C74" w:rsidRPr="00C34C74">
        <w:rPr>
          <w:rFonts w:ascii="Times New Roman" w:hAnsi="Times New Roman" w:cs="Times New Roman"/>
          <w:sz w:val="24"/>
          <w:szCs w:val="24"/>
        </w:rPr>
        <w:t xml:space="preserve"> Правительства Ленинградской области от 6 февраля 2017 года N 14 "Об утверждении бюджетного прогноза Ленинградской области на период до 2028 года";</w:t>
      </w:r>
    </w:p>
    <w:p w:rsidR="00C34C74" w:rsidRPr="00C34C74" w:rsidRDefault="004A182B" w:rsidP="00C34C74">
      <w:pPr>
        <w:pStyle w:val="ConsPlusNormal"/>
        <w:ind w:firstLine="540"/>
        <w:jc w:val="both"/>
        <w:rPr>
          <w:rFonts w:ascii="Times New Roman" w:hAnsi="Times New Roman" w:cs="Times New Roman"/>
          <w:sz w:val="24"/>
          <w:szCs w:val="24"/>
        </w:rPr>
      </w:pPr>
      <w:hyperlink r:id="rId10">
        <w:r w:rsidR="00C34C74" w:rsidRPr="00C34C74">
          <w:rPr>
            <w:rFonts w:ascii="Times New Roman" w:hAnsi="Times New Roman" w:cs="Times New Roman"/>
            <w:color w:val="0000FF"/>
            <w:sz w:val="24"/>
            <w:szCs w:val="24"/>
          </w:rPr>
          <w:t>постановление</w:t>
        </w:r>
      </w:hyperlink>
      <w:r w:rsidR="00C34C74" w:rsidRPr="00C34C74">
        <w:rPr>
          <w:rFonts w:ascii="Times New Roman" w:hAnsi="Times New Roman" w:cs="Times New Roman"/>
          <w:sz w:val="24"/>
          <w:szCs w:val="24"/>
        </w:rPr>
        <w:t xml:space="preserve"> Правительства Ленинградской области от 3 февраля 2020 года N 43 "О внесении изменения в постановление Правительства Ленинградской области от 6 февраля 2017 года N 14 "Об утверждении бюджетного прогноза Ленинградской области на период до 2028 года";</w:t>
      </w:r>
    </w:p>
    <w:p w:rsidR="00C34C74" w:rsidRPr="00C34C74" w:rsidRDefault="004A182B" w:rsidP="00C34C74">
      <w:pPr>
        <w:pStyle w:val="ConsPlusNormal"/>
        <w:ind w:firstLine="540"/>
        <w:jc w:val="both"/>
        <w:rPr>
          <w:rFonts w:ascii="Times New Roman" w:hAnsi="Times New Roman" w:cs="Times New Roman"/>
          <w:sz w:val="24"/>
          <w:szCs w:val="24"/>
        </w:rPr>
      </w:pPr>
      <w:hyperlink r:id="rId11">
        <w:r w:rsidR="00C34C74" w:rsidRPr="00C34C74">
          <w:rPr>
            <w:rFonts w:ascii="Times New Roman" w:hAnsi="Times New Roman" w:cs="Times New Roman"/>
            <w:color w:val="0000FF"/>
            <w:sz w:val="24"/>
            <w:szCs w:val="24"/>
          </w:rPr>
          <w:t>постановление</w:t>
        </w:r>
      </w:hyperlink>
      <w:r w:rsidR="00C34C74" w:rsidRPr="00C34C74">
        <w:rPr>
          <w:rFonts w:ascii="Times New Roman" w:hAnsi="Times New Roman" w:cs="Times New Roman"/>
          <w:sz w:val="24"/>
          <w:szCs w:val="24"/>
        </w:rPr>
        <w:t xml:space="preserve"> Правительства Ленинградской области от 18 февраля 2022 года N 101 "О внесении изменения в постановление Правительства Ленинградской области от 6 февраля 2017 года N 14 "Об утверждении бюджетного прогноза Ленинградской области на период до 2028 года".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3. Контроль за исполнением настоящего постановления возложить на первого заместителя Председателя Правительства Ленинградской области - председателя комитета финансов.</w:t>
      </w:r>
    </w:p>
    <w:p w:rsidR="00C34C74" w:rsidRPr="00C34C74" w:rsidRDefault="00C34C74" w:rsidP="00C34C74">
      <w:pPr>
        <w:pStyle w:val="ConsPlusNormal"/>
        <w:ind w:firstLine="540"/>
        <w:jc w:val="both"/>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Губернатор</w:t>
      </w: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Ленинградской области</w:t>
      </w:r>
    </w:p>
    <w:p w:rsidR="00C34C74" w:rsidRDefault="00C34C74" w:rsidP="00C34C74">
      <w:pPr>
        <w:pStyle w:val="ConsPlusNormal"/>
        <w:jc w:val="right"/>
        <w:rPr>
          <w:rFonts w:ascii="Times New Roman" w:hAnsi="Times New Roman" w:cs="Times New Roman"/>
          <w:sz w:val="24"/>
          <w:szCs w:val="24"/>
        </w:rPr>
      </w:pPr>
      <w:proofErr w:type="spellStart"/>
      <w:r w:rsidRPr="00C34C74">
        <w:rPr>
          <w:rFonts w:ascii="Times New Roman" w:hAnsi="Times New Roman" w:cs="Times New Roman"/>
          <w:sz w:val="24"/>
          <w:szCs w:val="24"/>
        </w:rPr>
        <w:t>А.Дрозденко</w:t>
      </w:r>
      <w:proofErr w:type="spellEnd"/>
    </w:p>
    <w:p w:rsidR="00C34C74" w:rsidRDefault="00C34C74">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C34C74" w:rsidRPr="00C34C74" w:rsidRDefault="00C34C74" w:rsidP="00C34C74">
      <w:pPr>
        <w:pStyle w:val="ConsPlusNormal"/>
        <w:jc w:val="right"/>
        <w:outlineLvl w:val="0"/>
        <w:rPr>
          <w:rFonts w:ascii="Times New Roman" w:hAnsi="Times New Roman" w:cs="Times New Roman"/>
          <w:sz w:val="24"/>
          <w:szCs w:val="24"/>
        </w:rPr>
      </w:pPr>
      <w:r w:rsidRPr="00C34C74">
        <w:rPr>
          <w:rFonts w:ascii="Times New Roman" w:hAnsi="Times New Roman" w:cs="Times New Roman"/>
          <w:sz w:val="24"/>
          <w:szCs w:val="24"/>
        </w:rPr>
        <w:lastRenderedPageBreak/>
        <w:t>УТВЕРЖДЕН</w:t>
      </w: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постановлением Правительства</w:t>
      </w: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Ленинградской области</w:t>
      </w: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от 17.02.2023 N 104</w:t>
      </w: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(приложение)</w:t>
      </w:r>
    </w:p>
    <w:p w:rsidR="00C34C74" w:rsidRPr="00C34C74" w:rsidRDefault="00C34C74" w:rsidP="00C34C74">
      <w:pPr>
        <w:pStyle w:val="ConsPlusNormal"/>
        <w:jc w:val="right"/>
        <w:rPr>
          <w:rFonts w:ascii="Times New Roman" w:hAnsi="Times New Roman" w:cs="Times New Roman"/>
          <w:sz w:val="24"/>
          <w:szCs w:val="24"/>
        </w:rPr>
      </w:pPr>
    </w:p>
    <w:p w:rsidR="00C34C74" w:rsidRPr="00C34C74" w:rsidRDefault="00C34C74" w:rsidP="00C34C74">
      <w:pPr>
        <w:pStyle w:val="ConsPlusTitle"/>
        <w:jc w:val="center"/>
        <w:rPr>
          <w:rFonts w:ascii="Times New Roman" w:hAnsi="Times New Roman" w:cs="Times New Roman"/>
          <w:sz w:val="24"/>
          <w:szCs w:val="24"/>
        </w:rPr>
      </w:pPr>
      <w:bookmarkStart w:id="1" w:name="P35"/>
      <w:bookmarkEnd w:id="1"/>
      <w:r w:rsidRPr="00C34C74">
        <w:rPr>
          <w:rFonts w:ascii="Times New Roman" w:hAnsi="Times New Roman" w:cs="Times New Roman"/>
          <w:sz w:val="24"/>
          <w:szCs w:val="24"/>
        </w:rPr>
        <w:t>БЮДЖЕТНЫЙ ПРОГНОЗ</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ЛЕНИНГРАДСКОЙ ОБЛАСТИ НА ПЕРИОД ДО 2034 ГОДА</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(ДАЛЕЕ - БЮДЖЕТНЫЙ ПРОГНОЗ)</w:t>
      </w:r>
    </w:p>
    <w:p w:rsidR="00C34C74" w:rsidRPr="00C34C74" w:rsidRDefault="00C34C74" w:rsidP="00C34C74">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C34C74" w:rsidRPr="00C34C74">
        <w:tc>
          <w:tcPr>
            <w:tcW w:w="60" w:type="dxa"/>
            <w:tcBorders>
              <w:top w:val="nil"/>
              <w:left w:val="nil"/>
              <w:bottom w:val="nil"/>
              <w:right w:val="nil"/>
            </w:tcBorders>
            <w:shd w:val="clear" w:color="auto" w:fill="CED3F1"/>
            <w:tcMar>
              <w:top w:w="0" w:type="dxa"/>
              <w:left w:w="0" w:type="dxa"/>
              <w:bottom w:w="0" w:type="dxa"/>
              <w:right w:w="0" w:type="dxa"/>
            </w:tcMar>
          </w:tcPr>
          <w:p w:rsidR="00C34C74" w:rsidRPr="00C34C74" w:rsidRDefault="00C34C74" w:rsidP="00C34C74">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34C74" w:rsidRPr="00C34C74" w:rsidRDefault="00C34C74" w:rsidP="00C34C74">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Список изменяющих документов</w:t>
            </w:r>
          </w:p>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 xml:space="preserve">(в ред. </w:t>
            </w:r>
            <w:hyperlink r:id="rId12">
              <w:r w:rsidRPr="00C34C74">
                <w:rPr>
                  <w:rFonts w:ascii="Times New Roman" w:hAnsi="Times New Roman" w:cs="Times New Roman"/>
                  <w:color w:val="0000FF"/>
                  <w:sz w:val="24"/>
                  <w:szCs w:val="24"/>
                </w:rPr>
                <w:t>Постановления</w:t>
              </w:r>
            </w:hyperlink>
            <w:r w:rsidRPr="00C34C74">
              <w:rPr>
                <w:rFonts w:ascii="Times New Roman" w:hAnsi="Times New Roman" w:cs="Times New Roman"/>
                <w:color w:val="392C69"/>
                <w:sz w:val="24"/>
                <w:szCs w:val="24"/>
              </w:rPr>
              <w:t xml:space="preserve"> Правительства Ленинградской области</w:t>
            </w:r>
          </w:p>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color w:val="392C69"/>
                <w:sz w:val="24"/>
                <w:szCs w:val="24"/>
              </w:rPr>
              <w:t>от 13.02.2026 N 130)</w:t>
            </w:r>
          </w:p>
        </w:tc>
        <w:tc>
          <w:tcPr>
            <w:tcW w:w="113" w:type="dxa"/>
            <w:tcBorders>
              <w:top w:val="nil"/>
              <w:left w:val="nil"/>
              <w:bottom w:val="nil"/>
              <w:right w:val="nil"/>
            </w:tcBorders>
            <w:shd w:val="clear" w:color="auto" w:fill="F4F3F8"/>
            <w:tcMar>
              <w:top w:w="0" w:type="dxa"/>
              <w:left w:w="0" w:type="dxa"/>
              <w:bottom w:w="0" w:type="dxa"/>
              <w:right w:w="0" w:type="dxa"/>
            </w:tcMar>
          </w:tcPr>
          <w:p w:rsidR="00C34C74" w:rsidRPr="00C34C74" w:rsidRDefault="00C34C74" w:rsidP="00C34C74">
            <w:pPr>
              <w:pStyle w:val="ConsPlusNormal"/>
              <w:rPr>
                <w:rFonts w:ascii="Times New Roman" w:hAnsi="Times New Roman" w:cs="Times New Roman"/>
                <w:sz w:val="24"/>
                <w:szCs w:val="24"/>
              </w:rPr>
            </w:pPr>
          </w:p>
        </w:tc>
      </w:tr>
    </w:tbl>
    <w:p w:rsidR="00C34C74" w:rsidRPr="00C34C74" w:rsidRDefault="00C34C74" w:rsidP="00C34C74">
      <w:pPr>
        <w:pStyle w:val="ConsPlusNormal"/>
        <w:jc w:val="center"/>
        <w:rPr>
          <w:rFonts w:ascii="Times New Roman" w:hAnsi="Times New Roman" w:cs="Times New Roman"/>
          <w:sz w:val="24"/>
          <w:szCs w:val="24"/>
        </w:rPr>
      </w:pPr>
    </w:p>
    <w:p w:rsidR="00C34C74" w:rsidRPr="00C34C74" w:rsidRDefault="00C34C74" w:rsidP="00C34C74">
      <w:pPr>
        <w:pStyle w:val="ConsPlusTitle"/>
        <w:jc w:val="center"/>
        <w:outlineLvl w:val="1"/>
        <w:rPr>
          <w:rFonts w:ascii="Times New Roman" w:hAnsi="Times New Roman" w:cs="Times New Roman"/>
          <w:sz w:val="24"/>
          <w:szCs w:val="24"/>
        </w:rPr>
      </w:pPr>
      <w:r w:rsidRPr="00C34C74">
        <w:rPr>
          <w:rFonts w:ascii="Times New Roman" w:hAnsi="Times New Roman" w:cs="Times New Roman"/>
          <w:sz w:val="24"/>
          <w:szCs w:val="24"/>
        </w:rPr>
        <w:t>1. Условия формирования Бюджетного прогноза</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Вследствие введения беспрецедентных экономических санкций со стороны недружественных государств существенно трансформировались внешние и внутренние условия развития экономики Российской Федерации.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2023 году ситуация в мировой экономике оставалась сложной. Несмотря на значительное снижение цен на товарно-сырьевых рынках относительно максимумов 2022 года и, как следствие, уменьшение инфляционного давления, уровень инфляции во многих странах оставался выше целевых значений.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Мировая торговля товарами сократилась на 1,2%, испытав негативные последствия ужесточения торговых мер (в 2023 году было введено 3 тысячи новых торговых ограничений) и нарушения транспортно-логистических цепочек.</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Цены на нефть марки </w:t>
      </w:r>
      <w:proofErr w:type="spellStart"/>
      <w:r w:rsidRPr="00C34C74">
        <w:rPr>
          <w:rFonts w:ascii="Times New Roman" w:hAnsi="Times New Roman" w:cs="Times New Roman"/>
          <w:sz w:val="24"/>
          <w:szCs w:val="24"/>
        </w:rPr>
        <w:t>Брент</w:t>
      </w:r>
      <w:proofErr w:type="spellEnd"/>
      <w:r w:rsidRPr="00C34C74">
        <w:rPr>
          <w:rFonts w:ascii="Times New Roman" w:hAnsi="Times New Roman" w:cs="Times New Roman"/>
          <w:sz w:val="24"/>
          <w:szCs w:val="24"/>
        </w:rPr>
        <w:t xml:space="preserve"> в 2023 году снизились на 18,0% по сравнению с 2022 годом и составили 82,6 доллара США за баррель на фоне роста добычи нефти и замедления темпов развития экономик потребителей нефти.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Однако отечественная экономика выстояла в условиях санкций благодаря устойчивой финансовой базе и инфраструктуре. Россия вошла в четверку самых сильных стран мира по экономическому развитию с точки зрения паритета покупательной способности.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прочности, накопленного за прошедшие годы.</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 формировании показателей бюджетного прогноза Ленинградской области на период 2023-2034 годов было учтено влияние как традиционных, так и новых, сформировавшихся в 2024 году, внешних и внутренних факторов и ограничений, связанных с введением антироссийских санкций, на преодоление которых направлены совместные действия Правительства Ленинградской области, органов исполнительной власти и местного самоуправления Ленинградской области, участников бизнес-сообщества и общественных организаций.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Бюджетный прогноз разработан на вариативной основе с учетом прогноза социально-экономического развития Ленинградской области на долгосрочный период:</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консервативный (вариант 1) предполагает более низкие темпы роста мировой экономики, траектория цен на нефть и другие сырьевые товары сложится ниже, чем в базовом варианте. Темпы роста товарного экспорта будут замедляться быстрее импорта (относительно базового варианта), что скажется на сокращении торгового баланса и приведет к более сильному ослаблению курса рубля;</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базовый (вариант 2) предполагает, что важнейшим фактором роста будет являться экономика предложения: расширение внутреннего производства и </w:t>
      </w:r>
      <w:proofErr w:type="spellStart"/>
      <w:r w:rsidRPr="00C34C74">
        <w:rPr>
          <w:rFonts w:ascii="Times New Roman" w:hAnsi="Times New Roman" w:cs="Times New Roman"/>
          <w:sz w:val="24"/>
          <w:szCs w:val="24"/>
        </w:rPr>
        <w:t>импортозамещение</w:t>
      </w:r>
      <w:proofErr w:type="spellEnd"/>
      <w:r w:rsidRPr="00C34C74">
        <w:rPr>
          <w:rFonts w:ascii="Times New Roman" w:hAnsi="Times New Roman" w:cs="Times New Roman"/>
          <w:sz w:val="24"/>
          <w:szCs w:val="24"/>
        </w:rPr>
        <w:t xml:space="preserve">, траектория развития </w:t>
      </w:r>
      <w:r w:rsidRPr="00C34C74">
        <w:rPr>
          <w:rFonts w:ascii="Times New Roman" w:hAnsi="Times New Roman" w:cs="Times New Roman"/>
          <w:sz w:val="24"/>
          <w:szCs w:val="24"/>
        </w:rPr>
        <w:lastRenderedPageBreak/>
        <w:t>экономики будет определяться ростом внутреннего спроса (потребительского и инвестиционного).</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Достижение показателей Бюджетного прогноза сопряжено с определенными рисками: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кардинальное изменение с февраля 2022 года геополитических условий функционирования российской экономики, связанное, в первую очередь, с принятием отдельными иностранными государствами ряда пакетов санкций против России;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нестабильность поступления налога на прибыль организаций, в том числе в связи с отменой с 1 января 2023 года деятельности консолидированных групп налогоплательщиков (далее - КГН), а с 1 января 2026 года - компенсационного механизма, установленного на 2023-2025 годы в связи с отменой КГН и предусматривающего централизацию на федеральном уровне большей части налога на прибыль, уплачиваемого бывшими участниками КГН, и последующее распределение указанных сумм между бюджетами субъектов Российской Федерации по установленным нормативам;</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внесение в бюджетное и налоговое законодательство Российской Федерации изменений, влияющих на доходную базу региональных и местных бюджетов;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принятие на федеральном уровне нормативных правовых актов, приводящих к росту расходной части бюджетов субъектов Российской Федерации и местных бюджетов, в течение долгосрочного периода бюджетного планирования.</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целях нивелирования выявленных рисков в Ленинградской области предпринимаются меры по следующим направлениям:</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создание благоприятного инвестиционного климата в целях обеспечения роста налогового потенциала региона (сохранение режима предоставления мер государственной поддержки инвесторам, трейдерам, организациям, осуществляющим деятельность по развитию индустриальных парков, заключение специальных инвестиционных контрактов, стимулирование реализации региональных инвестиционных проектов, инвестиционные налоговые вычеты, поддержка территорий опережающего развития, развитие особых экономических зон);</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поддержка малого и среднего предпринимательства, в том числе создание условий для роста числа организаций и индивидуальных предпринимателей, применяющих упрощенную и патентную систему налогообложения, а также создание стимулов для перехода граждан к применению специального налогового режима "Налог на профессиональный доход";</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дальнейшее развитие социальной инфраструктуры, в том числе в целях привлечения в регион населения в трудоспособном возрасте.</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Кроме того, с 1 января 2025 года в соответствии с </w:t>
      </w:r>
      <w:hyperlink r:id="rId13">
        <w:r w:rsidRPr="00C34C74">
          <w:rPr>
            <w:rFonts w:ascii="Times New Roman" w:hAnsi="Times New Roman" w:cs="Times New Roman"/>
            <w:color w:val="0000FF"/>
            <w:sz w:val="24"/>
            <w:szCs w:val="24"/>
          </w:rPr>
          <w:t>пунктом 1 статьи 418.1</w:t>
        </w:r>
      </w:hyperlink>
      <w:r w:rsidRPr="00C34C74">
        <w:rPr>
          <w:rFonts w:ascii="Times New Roman" w:hAnsi="Times New Roman" w:cs="Times New Roman"/>
          <w:sz w:val="24"/>
          <w:szCs w:val="24"/>
        </w:rPr>
        <w:t xml:space="preserve"> Налогового кодекса Российской Федерации и нормативными правовыми актами представительных органов муниципальных образований Ленинградской области на территории 48 муниципальных образований введен туристический налог. С 1 января 2026 года количество муниципальных образований, принявших решения о введении туристического налога, увеличилось до 71.</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Бюджетный прогноз сформирован по принципу сбалансированности бюджета: объем предусмотренных бюджетом расходов соответствует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В </w:t>
      </w:r>
      <w:hyperlink w:anchor="P68">
        <w:r w:rsidRPr="00C34C74">
          <w:rPr>
            <w:rFonts w:ascii="Times New Roman" w:hAnsi="Times New Roman" w:cs="Times New Roman"/>
            <w:color w:val="0000FF"/>
            <w:sz w:val="24"/>
            <w:szCs w:val="24"/>
          </w:rPr>
          <w:t>разделах 2</w:t>
        </w:r>
      </w:hyperlink>
      <w:r w:rsidRPr="00C34C74">
        <w:rPr>
          <w:rFonts w:ascii="Times New Roman" w:hAnsi="Times New Roman" w:cs="Times New Roman"/>
          <w:sz w:val="24"/>
          <w:szCs w:val="24"/>
        </w:rPr>
        <w:t xml:space="preserve"> и </w:t>
      </w:r>
      <w:hyperlink w:anchor="P417">
        <w:r w:rsidRPr="00C34C74">
          <w:rPr>
            <w:rFonts w:ascii="Times New Roman" w:hAnsi="Times New Roman" w:cs="Times New Roman"/>
            <w:color w:val="0000FF"/>
            <w:sz w:val="24"/>
            <w:szCs w:val="24"/>
          </w:rPr>
          <w:t>3</w:t>
        </w:r>
      </w:hyperlink>
      <w:r w:rsidRPr="00C34C74">
        <w:rPr>
          <w:rFonts w:ascii="Times New Roman" w:hAnsi="Times New Roman" w:cs="Times New Roman"/>
          <w:sz w:val="24"/>
          <w:szCs w:val="24"/>
        </w:rPr>
        <w:t xml:space="preserve"> показатели, характеризующие параметры консолидированного и областного бюджетов Ленинградской области на период до 2034 года, в том числе структуру и динамику доходной и расходной части, представлены по варианту 2 (базовому) прогноза социально-экономического развития Ленинградской области на долгосрочный период.</w:t>
      </w:r>
    </w:p>
    <w:p w:rsidR="00C34C74" w:rsidRPr="00C34C74" w:rsidRDefault="00C34C74" w:rsidP="00C34C74">
      <w:pPr>
        <w:pStyle w:val="ConsPlusNormal"/>
        <w:rPr>
          <w:rFonts w:ascii="Times New Roman" w:hAnsi="Times New Roman" w:cs="Times New Roman"/>
          <w:sz w:val="24"/>
          <w:szCs w:val="24"/>
        </w:rPr>
      </w:pPr>
    </w:p>
    <w:p w:rsidR="00C34C74" w:rsidRDefault="00C34C74" w:rsidP="00C34C74">
      <w:pPr>
        <w:pStyle w:val="ConsPlusTitle"/>
        <w:jc w:val="center"/>
        <w:outlineLvl w:val="1"/>
        <w:rPr>
          <w:rFonts w:ascii="Times New Roman" w:hAnsi="Times New Roman" w:cs="Times New Roman"/>
          <w:sz w:val="24"/>
          <w:szCs w:val="24"/>
        </w:rPr>
      </w:pPr>
      <w:bookmarkStart w:id="2" w:name="P68"/>
      <w:bookmarkEnd w:id="2"/>
    </w:p>
    <w:p w:rsidR="00C34C74" w:rsidRDefault="00C34C74" w:rsidP="00C34C74">
      <w:pPr>
        <w:pStyle w:val="ConsPlusTitle"/>
        <w:jc w:val="center"/>
        <w:outlineLvl w:val="1"/>
        <w:rPr>
          <w:rFonts w:ascii="Times New Roman" w:hAnsi="Times New Roman" w:cs="Times New Roman"/>
          <w:sz w:val="24"/>
          <w:szCs w:val="24"/>
        </w:rPr>
      </w:pPr>
    </w:p>
    <w:p w:rsidR="00C34C74" w:rsidRDefault="00C34C74" w:rsidP="00C34C74">
      <w:pPr>
        <w:pStyle w:val="ConsPlusTitle"/>
        <w:jc w:val="center"/>
        <w:outlineLvl w:val="1"/>
        <w:rPr>
          <w:rFonts w:ascii="Times New Roman" w:hAnsi="Times New Roman" w:cs="Times New Roman"/>
          <w:sz w:val="24"/>
          <w:szCs w:val="24"/>
        </w:rPr>
      </w:pPr>
    </w:p>
    <w:p w:rsidR="00C34C74" w:rsidRDefault="00C34C74" w:rsidP="00C34C74">
      <w:pPr>
        <w:pStyle w:val="ConsPlusTitle"/>
        <w:jc w:val="center"/>
        <w:outlineLvl w:val="1"/>
        <w:rPr>
          <w:rFonts w:ascii="Times New Roman" w:hAnsi="Times New Roman" w:cs="Times New Roman"/>
          <w:sz w:val="24"/>
          <w:szCs w:val="24"/>
        </w:rPr>
      </w:pPr>
    </w:p>
    <w:p w:rsidR="00C34C74" w:rsidRPr="00C34C74" w:rsidRDefault="00C34C74" w:rsidP="00C34C74">
      <w:pPr>
        <w:pStyle w:val="ConsPlusTitle"/>
        <w:jc w:val="center"/>
        <w:outlineLvl w:val="1"/>
        <w:rPr>
          <w:rFonts w:ascii="Times New Roman" w:hAnsi="Times New Roman" w:cs="Times New Roman"/>
          <w:sz w:val="24"/>
          <w:szCs w:val="24"/>
        </w:rPr>
      </w:pPr>
      <w:r w:rsidRPr="00C34C74">
        <w:rPr>
          <w:rFonts w:ascii="Times New Roman" w:hAnsi="Times New Roman" w:cs="Times New Roman"/>
          <w:sz w:val="24"/>
          <w:szCs w:val="24"/>
        </w:rPr>
        <w:lastRenderedPageBreak/>
        <w:t>2. Прогноз основных параметров консолидированного</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и областного бюджетов Ленинградской области</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на период до 2034 года</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Расчеты объемов поступлений налоговых и неналоговых доходов в консолидированный и областной бюджеты Ленинградской области в рамках составления Бюджетного прогноза основаны на показателях долгосрочного прогноза социально-экономического развития Ленинградской области на период до 2035 года, характеризующих как общие тенденции развития экономики (объем валового регионального продукта, динамика индекса промышленного производства, объем инвестиций в основной капитал и т.д.), так и изменение макроэкономических показателей, оказывающих непосредственное влияние на объемы поступлений по основным доходным источникам бюджета: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темп роста прибыли прибыльных организаций;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темп роста фонда заработной платы;</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темп роста амортизационных отчислений.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Из основных доходных источников бюджета наиболее сложным для долгосрочного прогнозирования является налог на прибыль организаций.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На объем поступлений по данному доходному источнику оказывают влияние различные внешние факторы, основным из которых является изменение геополитической ситуации, приведшее к нарушению сложившихся экономических связей, транспортной логистики и, как следствие, к ухудшению финансового положения отдельных налогоплательщиков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складывающихся экономических реалиях существенным колебаниям подвержена цена на нефть и курс иностранных валют, которые также оказывают влияние на объем налога на прибыль.</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 учетом эффективной реализации всего комплекса мер по поддержке экономики в долгосрочной перспективе ожидается стабилизация экономической ситуации в регионе, что позволит налогоплательщикам Ленинградской области улучшить финансовое состояние и увеличить объемы налога на прибыль организаций по сравнению с уровнем 2022 года.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Таким образом, долгосрочный прогноз по данному доходному источнику рассчитан исходя из прогнозируемого темпа роста, характеризующего темп роста прибыли прибыльных организаций, а также с учетом изменений федерального законодательства, в том числе в части отмены компенсационного механизма по КГН. При этом у регионального бюджета имеются резервы пополнения доходной базы в результате увеличения налоговой ставки по налогу на прибыль организаций, подлежащей зачислению в бюджеты субъектов Российской Федерации, на один процентный пункт с 2031 года.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По налогу на доходы физических лиц расчет долгосрочного прогноза поступлений осуществлен исходя из показателей прогноза социально-экономического развития Ленинградской области на очередной финансовый год и плановый период (темп роста фонда заработной платы), динамики налоговой базы по налогу, сложившейся за предыдущие периоды, динамики фактических поступлений по налогу, динамики налоговых вычетов, а также налоговых ставок, льгот и преференций, установленных </w:t>
      </w:r>
      <w:hyperlink r:id="rId14">
        <w:r w:rsidRPr="00C34C74">
          <w:rPr>
            <w:rFonts w:ascii="Times New Roman" w:hAnsi="Times New Roman" w:cs="Times New Roman"/>
            <w:color w:val="0000FF"/>
            <w:sz w:val="24"/>
            <w:szCs w:val="24"/>
          </w:rPr>
          <w:t>главой 23</w:t>
        </w:r>
      </w:hyperlink>
      <w:r w:rsidRPr="00C34C74">
        <w:rPr>
          <w:rFonts w:ascii="Times New Roman" w:hAnsi="Times New Roman" w:cs="Times New Roman"/>
          <w:sz w:val="24"/>
          <w:szCs w:val="24"/>
        </w:rPr>
        <w:t xml:space="preserve"> Налогового кодекса Российской Федерации.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Прогнозируемый объем поступлений налога на имущество организаций рассчитан с учетом показателей прогноза социально-экономического развития Ленинградской области на очередной финансовый год и плановый период (среднегодовая стоимость амортизируемого имущества, амортизация), динамики налоговой базы, сложившейся в предыдущие периоды, налоговых ставок и налоговых льгот, установленных </w:t>
      </w:r>
      <w:hyperlink r:id="rId15">
        <w:r w:rsidRPr="00C34C74">
          <w:rPr>
            <w:rFonts w:ascii="Times New Roman" w:hAnsi="Times New Roman" w:cs="Times New Roman"/>
            <w:color w:val="0000FF"/>
            <w:sz w:val="24"/>
            <w:szCs w:val="24"/>
          </w:rPr>
          <w:t>главой 30</w:t>
        </w:r>
      </w:hyperlink>
      <w:r w:rsidRPr="00C34C74">
        <w:rPr>
          <w:rFonts w:ascii="Times New Roman" w:hAnsi="Times New Roman" w:cs="Times New Roman"/>
          <w:sz w:val="24"/>
          <w:szCs w:val="24"/>
        </w:rPr>
        <w:t xml:space="preserve"> Налогового кодекса Российской Федерации и нормативными правовыми актами Ленинградской области. Кроме того, при расчете прогноза по налогу на имущество организаций учитывалось окончание действия льготного периода по уплате налога на имущество отдельными инвесторами - в соответствии с договорами, заключенными с Правительством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По акцизам на нефтепродукты и алкогольную продукцию расчет поступлений на долгосрочный период осуществлен с учетом действующих ставок акцизов по подакцизной </w:t>
      </w:r>
      <w:r w:rsidRPr="00C34C74">
        <w:rPr>
          <w:rFonts w:ascii="Times New Roman" w:hAnsi="Times New Roman" w:cs="Times New Roman"/>
          <w:sz w:val="24"/>
          <w:szCs w:val="24"/>
        </w:rPr>
        <w:lastRenderedPageBreak/>
        <w:t>продукции, а также установленных бюджетным законодательством Российской Федерации нормативов распределения доходов от уплаты акцизов между федеральным бюджетом и бюджетами субъектов Российской Федерации. Следует отметить, что внесенные на федеральном уровне изменения в порядок исчисления акцизов позволят повысить их роль в формировании доходной части консолидированного бюджета Ленинградской области - как в среднесрочной, так и в долгосрочной перспективе.</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Объемы поступлений по остальным налоговым доходам, а также неналоговым доходам на долгосрочный период в основном рассчитаны с применением ежегодной динамики роста, учтенной при формировании доходной части консолидированного и областного бюджетов Ленинградской области на среднесрочный период.</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Расчеты объемов безвозмездных поступлений в консолидированный и областной бюджеты Ленинградской области в рамках составления Бюджетного прогноза основаны на оценке их поступлений в прошлые периоды.</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 формировании Бюджетного прогноза темпы роста объемов безвозмездных поступлений из федерального бюджета, начиная с 2029 года, рассчитаны на уровне 2028 года, за исключением субвенций, к которым применен индекс потребительских цен, поступление дотаций не планируется. Кроме того, ожидаются поступления средств из бюджета Санкт-Петербурга, к которым также применен индекс потребительских цен.</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Основные параметры областного бюджета Ленинградской области (далее также - областной бюджет) на период до 2034 года представлены в </w:t>
      </w:r>
      <w:hyperlink w:anchor="P465">
        <w:r w:rsidRPr="00C34C74">
          <w:rPr>
            <w:rFonts w:ascii="Times New Roman" w:hAnsi="Times New Roman" w:cs="Times New Roman"/>
            <w:color w:val="0000FF"/>
            <w:sz w:val="24"/>
            <w:szCs w:val="24"/>
          </w:rPr>
          <w:t>приложении 1</w:t>
        </w:r>
      </w:hyperlink>
      <w:r w:rsidRPr="00C34C74">
        <w:rPr>
          <w:rFonts w:ascii="Times New Roman" w:hAnsi="Times New Roman" w:cs="Times New Roman"/>
          <w:sz w:val="24"/>
          <w:szCs w:val="24"/>
        </w:rPr>
        <w:t xml:space="preserve"> к Бюджетному прогнозу.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 динамика доходной части областного бюджета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(тыс. руб.)</w:t>
      </w:r>
    </w:p>
    <w:p w:rsidR="00C34C74" w:rsidRPr="00C34C74" w:rsidRDefault="00C34C74" w:rsidP="00C34C7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8"/>
        <w:gridCol w:w="1616"/>
        <w:gridCol w:w="1487"/>
        <w:gridCol w:w="1616"/>
        <w:gridCol w:w="1495"/>
        <w:gridCol w:w="1316"/>
      </w:tblGrid>
      <w:tr w:rsidR="00C34C74" w:rsidRPr="00C34C74" w:rsidTr="00C34C74">
        <w:trPr>
          <w:trHeight w:val="1030"/>
        </w:trPr>
        <w:tc>
          <w:tcPr>
            <w:tcW w:w="2758"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доходов, %</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доходов, %</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rPr>
          <w:trHeight w:val="254"/>
        </w:trPr>
        <w:tc>
          <w:tcPr>
            <w:tcW w:w="2758"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Доходы</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252484025,7</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459366402,5</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181,9</w:t>
            </w:r>
          </w:p>
        </w:tc>
      </w:tr>
      <w:tr w:rsidR="00C34C74" w:rsidRPr="00C34C74" w:rsidTr="00C34C74">
        <w:trPr>
          <w:trHeight w:val="521"/>
        </w:trPr>
        <w:tc>
          <w:tcPr>
            <w:tcW w:w="2758"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 Налоговые и неналоговые доходы</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228711887,9</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90,6</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440022132,0</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95,8</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192,4</w:t>
            </w:r>
          </w:p>
        </w:tc>
      </w:tr>
      <w:tr w:rsidR="00C34C74" w:rsidRPr="00C34C74" w:rsidTr="00C34C74">
        <w:trPr>
          <w:trHeight w:val="254"/>
        </w:trPr>
        <w:tc>
          <w:tcPr>
            <w:tcW w:w="2758"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1.1. Налоговые доходы</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221363960,5</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87,7</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434071444,4</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94,5</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196,1</w:t>
            </w:r>
          </w:p>
        </w:tc>
      </w:tr>
      <w:tr w:rsidR="00C34C74" w:rsidRPr="00C34C74" w:rsidTr="00C34C74">
        <w:trPr>
          <w:trHeight w:val="254"/>
        </w:trPr>
        <w:tc>
          <w:tcPr>
            <w:tcW w:w="2758"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1.2. Неналоговые доходы</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7347927,4</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2,9</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5950687,6</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1,3</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81,0</w:t>
            </w:r>
          </w:p>
        </w:tc>
      </w:tr>
      <w:tr w:rsidR="00C34C74" w:rsidRPr="00C34C74" w:rsidTr="00C34C74">
        <w:trPr>
          <w:trHeight w:val="534"/>
        </w:trPr>
        <w:tc>
          <w:tcPr>
            <w:tcW w:w="2758"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2. Безвозмездные поступления</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23772137,8</w:t>
            </w:r>
          </w:p>
        </w:tc>
        <w:tc>
          <w:tcPr>
            <w:tcW w:w="1487"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9,4</w:t>
            </w:r>
          </w:p>
        </w:tc>
        <w:tc>
          <w:tcPr>
            <w:tcW w:w="16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19344270,5</w:t>
            </w:r>
          </w:p>
        </w:tc>
        <w:tc>
          <w:tcPr>
            <w:tcW w:w="149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4,2</w:t>
            </w:r>
          </w:p>
        </w:tc>
        <w:tc>
          <w:tcPr>
            <w:tcW w:w="13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81,4</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доходной части областного бюджета Ленинградской области в период 2023-2034 годов основной удельный вес (от 90,6% до 95,8%) занимают налоговые и неналоговые доходы.</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Доля безвозмездных поступлений в общем объеме доходов прогнозируется с сокращением с 9,4% в 2023 году до 4,2%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 динамика налоговых и неналоговых доходов областного бюджета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lastRenderedPageBreak/>
        <w:t>(тыс. руб.)</w:t>
      </w:r>
    </w:p>
    <w:p w:rsidR="00C34C74" w:rsidRPr="00C34C74" w:rsidRDefault="00C34C74" w:rsidP="00C34C74">
      <w:pPr>
        <w:pStyle w:val="ConsPlusNormal"/>
        <w:rPr>
          <w:rFonts w:ascii="Times New Roman" w:hAnsi="Times New Roman" w:cs="Times New Roman"/>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1474"/>
        <w:gridCol w:w="1474"/>
        <w:gridCol w:w="1474"/>
        <w:gridCol w:w="1474"/>
        <w:gridCol w:w="1191"/>
      </w:tblGrid>
      <w:tr w:rsidR="00C34C74" w:rsidRPr="00C34C74" w:rsidTr="00C34C74">
        <w:tc>
          <w:tcPr>
            <w:tcW w:w="318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налоговых и неналоговых доходов, %</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налоговых и неналоговых доходов, %</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c>
          <w:tcPr>
            <w:tcW w:w="318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Налоговые и неналоговые доходы</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228711887,9</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440022132,0</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192,4</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1.1. Налоговые доходы</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221363960,5</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96,8</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434071444,4</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98,6</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196,1</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в том числе:</w:t>
            </w: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191" w:type="dxa"/>
          </w:tcPr>
          <w:p w:rsidR="00C34C74" w:rsidRPr="00C34C74" w:rsidRDefault="00C34C74" w:rsidP="00C34C74">
            <w:pPr>
              <w:pStyle w:val="ConsPlusNormal"/>
              <w:rPr>
                <w:rFonts w:ascii="Times New Roman" w:hAnsi="Times New Roman" w:cs="Times New Roman"/>
                <w:sz w:val="24"/>
                <w:szCs w:val="24"/>
              </w:rPr>
            </w:pP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 на прибыль организаций</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124470473,2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54,4</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197539612,8</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44,9</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158,7</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 на доходы физических лиц</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47974218,1</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21,0</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148846085,6</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33,8</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310,3</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акцизы</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14050454,9</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6,1</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25415096,4</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5,8</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180,9</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 на имущество организаций</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29360298,6</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12,8</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54117522,5</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12,3</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184,3</w:t>
            </w:r>
          </w:p>
        </w:tc>
      </w:tr>
      <w:tr w:rsidR="00C34C74" w:rsidRPr="00C34C74" w:rsidTr="00C34C74">
        <w:tc>
          <w:tcPr>
            <w:tcW w:w="3181"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1.2. Неналоговые доходы</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7347927,4</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5950687,6</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1,4</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81,0</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долгосрочной перспективе ожидаются изменения в структуре налоговых и неналоговых доходов областного бюджета в сторону увеличения доли налоговых доходов - с 96,8% в 2023 году до 98,6%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Основными налоговыми доходными источниками бюджета по-прежнему останутся налог на прибыль организаций, налог на доходы физических лиц, налог на имущество организаций и акцизы. Удельный вес перечисленных налогов составит в общем объеме налоговых и неналоговых доходов областного бюджета в среднем 98,1%.</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 поступлений по налоговым доходам за период 2023-2034 годов с учетом макроэкономических показателей по прогнозу социально-экономического развития Ленинградской области составит 196,1%.</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 этом наблюдаются опережающие темпы роста по налогу на доходы физических лиц (310,3%) за счет расширения налоговой базы и по налогу на имущество организаций (184,3%) в результате расширения налоговой базы за счет ввода новых производственных мощностей.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По налогу на прибыль организаций темп роста (158,7%) ниже среднего по причине исключения из федерального налогового законодательства положений, регулирующих деятельность КГН, а также прекращения в 2026 году действия компенсационного механизма, предусмотренного федеральным бюджетным законодательством.</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 этом к 2034 году в структуре налоговых и неналоговых доходов в результате снижения доли налога на прибыль организаций существенно увеличивается доля налога на доходы физических лиц, как наиболее стабильного доходного источника регионального бюджета.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По неналоговым доходам наблюдается тенденция к снижению объема платежей к 2034 году (81,0%) в основном за счет доходов от размещения временно свободных средств областного бюджета.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lastRenderedPageBreak/>
        <w:t>Структура и динамика безвозмездных поступлений в областной бюджет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(тыс. руб.)</w:t>
      </w:r>
    </w:p>
    <w:p w:rsidR="00C34C74" w:rsidRPr="00C34C74" w:rsidRDefault="00C34C74" w:rsidP="00C34C7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0"/>
        <w:gridCol w:w="1479"/>
        <w:gridCol w:w="1716"/>
        <w:gridCol w:w="1479"/>
        <w:gridCol w:w="1716"/>
        <w:gridCol w:w="1243"/>
      </w:tblGrid>
      <w:tr w:rsidR="00C34C74" w:rsidRPr="00C34C74" w:rsidTr="00C34C74">
        <w:trPr>
          <w:trHeight w:val="1029"/>
        </w:trPr>
        <w:tc>
          <w:tcPr>
            <w:tcW w:w="2580"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безвозмездных поступлений, %</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безвозмездных поступлений, %</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rPr>
          <w:trHeight w:val="254"/>
        </w:trPr>
        <w:tc>
          <w:tcPr>
            <w:tcW w:w="2580"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w:t>
            </w:r>
          </w:p>
        </w:tc>
      </w:tr>
      <w:tr w:rsidR="00C34C74" w:rsidRPr="00C34C74" w:rsidTr="00C34C74">
        <w:trPr>
          <w:trHeight w:val="520"/>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Безвозмездные поступления</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23772137,8</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19344270,5</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81,4</w:t>
            </w:r>
          </w:p>
        </w:tc>
      </w:tr>
      <w:tr w:rsidR="00C34C74" w:rsidRPr="00C34C74" w:rsidTr="00C34C74">
        <w:trPr>
          <w:trHeight w:val="508"/>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в том числе из федерального бюджета:</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17005274,4</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71,5</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18614782,0</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96,2</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109,5</w:t>
            </w:r>
          </w:p>
        </w:tc>
      </w:tr>
      <w:tr w:rsidR="00C34C74" w:rsidRPr="00C34C74" w:rsidTr="00C34C74">
        <w:trPr>
          <w:trHeight w:val="254"/>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дотации</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205280,2</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0,9</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0,0</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0,0</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0,0</w:t>
            </w:r>
          </w:p>
        </w:tc>
      </w:tr>
      <w:tr w:rsidR="00C34C74" w:rsidRPr="00C34C74" w:rsidTr="00C34C74">
        <w:trPr>
          <w:trHeight w:val="267"/>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субсидии</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9051510,7</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38,1</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10870645,1</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56,2</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120,1</w:t>
            </w:r>
          </w:p>
        </w:tc>
      </w:tr>
      <w:tr w:rsidR="00C34C74" w:rsidRPr="00C34C74" w:rsidTr="00C34C74">
        <w:trPr>
          <w:trHeight w:val="254"/>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субвенции</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3137970,6</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13,2</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5979060,0</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30,9</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190,5</w:t>
            </w:r>
          </w:p>
        </w:tc>
      </w:tr>
      <w:tr w:rsidR="00C34C74" w:rsidRPr="00C34C74" w:rsidTr="00C34C74">
        <w:trPr>
          <w:trHeight w:val="520"/>
        </w:trPr>
        <w:tc>
          <w:tcPr>
            <w:tcW w:w="2580"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иные межбюджетные трансферты</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4610512,9</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19,4</w:t>
            </w:r>
          </w:p>
        </w:tc>
        <w:tc>
          <w:tcPr>
            <w:tcW w:w="147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1765076,9</w:t>
            </w:r>
          </w:p>
        </w:tc>
        <w:tc>
          <w:tcPr>
            <w:tcW w:w="17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9,1</w:t>
            </w:r>
          </w:p>
        </w:tc>
        <w:tc>
          <w:tcPr>
            <w:tcW w:w="1243"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38,3</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Отрицательная динамика безвозмездных поступлений в 2023-2034 годах в основном обусловлена отсутствием прогнозируемых поступлений от публично-правовой компании "Фонд развития территорий" в долгосрочном периоде.</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структуре безвозмездных поступлений основной удельный вес занимают средства из федерального бюджета, которые составляют к 2034 году 96,2% от общей суммы безвозмездных поступлений.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 субсидий из федерального бюджета за период 2023-2034 годов составит 120,1%, субвенций - 190,5%, поступление иных межбюджетных трансфертов из федерального бюджета составит 38,3%.</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Уменьшение объема поступления иных межбюджетных трансфертов обусловлено совершенствованием механизма предоставления целевых межбюджетных трансфертов из федерального бюджета: перевод иных межбюджетных трансфертов в субсидии как более прозрачный механизм государственной поддержки.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 динамика расходной части областного бюджета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Default="00C34C74" w:rsidP="00C34C74">
      <w:pPr>
        <w:pStyle w:val="ConsPlusNormal"/>
        <w:jc w:val="right"/>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lastRenderedPageBreak/>
        <w:t>(тыс. руб.)</w:t>
      </w:r>
    </w:p>
    <w:p w:rsidR="00C34C74" w:rsidRPr="00C34C74" w:rsidRDefault="00C34C74" w:rsidP="00C34C74">
      <w:pPr>
        <w:pStyle w:val="ConsPlusNormal"/>
        <w:rPr>
          <w:rFonts w:ascii="Times New Roman" w:hAnsi="Times New Roman" w:cs="Times New Roman"/>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12"/>
        <w:gridCol w:w="1546"/>
        <w:gridCol w:w="1374"/>
        <w:gridCol w:w="1546"/>
        <w:gridCol w:w="1374"/>
        <w:gridCol w:w="1216"/>
      </w:tblGrid>
      <w:tr w:rsidR="00C34C74" w:rsidRPr="00C34C74" w:rsidTr="00C34C74">
        <w:trPr>
          <w:trHeight w:val="1674"/>
        </w:trPr>
        <w:tc>
          <w:tcPr>
            <w:tcW w:w="32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расходов, %</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расходов, %</w:t>
            </w:r>
          </w:p>
        </w:tc>
        <w:tc>
          <w:tcPr>
            <w:tcW w:w="12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rPr>
          <w:trHeight w:val="279"/>
        </w:trPr>
        <w:tc>
          <w:tcPr>
            <w:tcW w:w="3212"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Расходы</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215318586,4</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461159528,0</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2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214,2</w:t>
            </w:r>
          </w:p>
        </w:tc>
      </w:tr>
      <w:tr w:rsidR="00C34C74" w:rsidRPr="00C34C74" w:rsidTr="00C34C74">
        <w:trPr>
          <w:trHeight w:val="558"/>
        </w:trPr>
        <w:tc>
          <w:tcPr>
            <w:tcW w:w="3212"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 Межбюджетные трансферты</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76385547,0</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35,5</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142883731,2</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31,0</w:t>
            </w:r>
          </w:p>
        </w:tc>
        <w:tc>
          <w:tcPr>
            <w:tcW w:w="12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187,1</w:t>
            </w:r>
          </w:p>
        </w:tc>
      </w:tr>
      <w:tr w:rsidR="00C34C74" w:rsidRPr="00C34C74" w:rsidTr="00C34C74">
        <w:trPr>
          <w:trHeight w:val="570"/>
        </w:trPr>
        <w:tc>
          <w:tcPr>
            <w:tcW w:w="3212"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2. Расходы без учета межбюджетных трансфертов</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138933039,4</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64,5</w:t>
            </w:r>
          </w:p>
        </w:tc>
        <w:tc>
          <w:tcPr>
            <w:tcW w:w="154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318275796,8</w:t>
            </w:r>
          </w:p>
        </w:tc>
        <w:tc>
          <w:tcPr>
            <w:tcW w:w="13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69,0</w:t>
            </w:r>
          </w:p>
        </w:tc>
        <w:tc>
          <w:tcPr>
            <w:tcW w:w="1216"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229,1</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долгосрочной перспективе структура расходов областного бюджета Ленинградской области не претерпит значительных изменений и останется стабильной. Доля расходов без учета межбюджетных трансфертов будет на уровне 69,0%, доля расходов межбюджетных трансфертов - на уровне 31,0%.</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 расходов областного бюджета Ленинградской области за период 2023-2034 годов с учетом макроэкономических показателей прогноза социально-экономического развития Ленинградской области составит 214,2%. Долгосрочный прогноз расходной части областного бюджета Ленинградской области рассчитан исходя из:</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индекса потребительских цен;</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роста контингента обучающихся (в отношении расходов на дошкольное и общее образование);</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изменения количества получателей и мер социальной поддержки;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увеличения расходов инвестиционного характера к 2034 году до 15,7% от общего объема расходов областного бюджета;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уровня безвозмездных поступлений.</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прогнозируемом периоде исполнение областного бюджета Ленинградской области планируется со снижением дефицита с 10,6% от налоговых и неналоговых доходов областного бюджета в 2026 году до 0,4%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Источниками финансирования дефицита областного бюджета Ленинградской области в 2026 и 2027 годах будут являться исключительно остатки средств, сложившиеся на начало года, и бюджетные кредиты, предоставленные из федерального бюджета на финансовое обеспечение расходов для реализации инфраструктурных проектов.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Начиная с 2028 года планируется привлекать кредиты кредитных организаций и выпускать государственные ценные бумаги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Государственный долг Ленинградской области в 2023-2029 годах будет составлять от 4,1% до 7,6% от налоговых и неналоговых доходов, начиная с 2030 года прогнозируется порядка 8,0%.</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К 2034 году в общем объеме государственного долга Ленинградской области основную долю (55,4%) будут занимать государственные ценные бумаги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Увеличение объема государственного долга Ленинградской области и сумм платежей, направляемых на его погашение и обслуживание, не повлечет за собой ухудшения долговой устойчивости региона.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Основные параметры консолидированного бюджета Ленинградской области на период до 2034 года представлены в </w:t>
      </w:r>
      <w:hyperlink w:anchor="P1006">
        <w:r w:rsidRPr="00C34C74">
          <w:rPr>
            <w:rFonts w:ascii="Times New Roman" w:hAnsi="Times New Roman" w:cs="Times New Roman"/>
            <w:color w:val="0000FF"/>
            <w:sz w:val="24"/>
            <w:szCs w:val="24"/>
          </w:rPr>
          <w:t>приложении 2</w:t>
        </w:r>
      </w:hyperlink>
      <w:r w:rsidRPr="00C34C74">
        <w:rPr>
          <w:rFonts w:ascii="Times New Roman" w:hAnsi="Times New Roman" w:cs="Times New Roman"/>
          <w:sz w:val="24"/>
          <w:szCs w:val="24"/>
        </w:rPr>
        <w:t xml:space="preserve"> к Бюджетному прогнозу.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 динамика доходной части консолидированного бюджета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(тыс. руб.)</w:t>
      </w:r>
    </w:p>
    <w:p w:rsidR="00C34C74" w:rsidRPr="00C34C74" w:rsidRDefault="00C34C74" w:rsidP="00C34C7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4"/>
        <w:gridCol w:w="1734"/>
        <w:gridCol w:w="1605"/>
        <w:gridCol w:w="1734"/>
        <w:gridCol w:w="1605"/>
        <w:gridCol w:w="1412"/>
      </w:tblGrid>
      <w:tr w:rsidR="00C34C74" w:rsidRPr="00C34C74" w:rsidTr="00C34C74">
        <w:trPr>
          <w:trHeight w:val="1149"/>
        </w:trPr>
        <w:tc>
          <w:tcPr>
            <w:tcW w:w="218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доходов, %</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доходов, %</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rPr>
          <w:trHeight w:val="287"/>
        </w:trPr>
        <w:tc>
          <w:tcPr>
            <w:tcW w:w="218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6</w:t>
            </w:r>
          </w:p>
        </w:tc>
      </w:tr>
      <w:tr w:rsidR="00C34C74" w:rsidRPr="00C34C74" w:rsidTr="00C34C74">
        <w:trPr>
          <w:trHeight w:val="287"/>
        </w:trPr>
        <w:tc>
          <w:tcPr>
            <w:tcW w:w="2184"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Доходы</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306088004,6</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581964489,5</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190,1</w:t>
            </w:r>
          </w:p>
        </w:tc>
      </w:tr>
      <w:tr w:rsidR="00C34C74" w:rsidRPr="00C34C74" w:rsidTr="00C34C74">
        <w:trPr>
          <w:trHeight w:val="861"/>
        </w:trPr>
        <w:tc>
          <w:tcPr>
            <w:tcW w:w="2184"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 Налоговые и неналоговые доходы</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282401010,8</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92,3</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562620219,0</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96,7</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199,2</w:t>
            </w:r>
          </w:p>
        </w:tc>
      </w:tr>
      <w:tr w:rsidR="00C34C74" w:rsidRPr="00C34C74" w:rsidTr="00C34C74">
        <w:trPr>
          <w:trHeight w:val="587"/>
        </w:trPr>
        <w:tc>
          <w:tcPr>
            <w:tcW w:w="2184"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1.1. Налоговые доходы</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266041252,3</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86,9</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546606299,1</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93,9</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205,5</w:t>
            </w:r>
          </w:p>
        </w:tc>
      </w:tr>
      <w:tr w:rsidR="00C34C74" w:rsidRPr="00C34C74" w:rsidTr="00C34C74">
        <w:trPr>
          <w:trHeight w:val="574"/>
        </w:trPr>
        <w:tc>
          <w:tcPr>
            <w:tcW w:w="2184"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1.2. Неналоговые доходы</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16359758,5</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5,3</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16013919,9</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2,8</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97,9</w:t>
            </w:r>
          </w:p>
        </w:tc>
      </w:tr>
      <w:tr w:rsidR="00C34C74" w:rsidRPr="00C34C74" w:rsidTr="00C34C74">
        <w:trPr>
          <w:trHeight w:val="587"/>
        </w:trPr>
        <w:tc>
          <w:tcPr>
            <w:tcW w:w="2184"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2. Безвозмездные поступления</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23686993,8</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7,7</w:t>
            </w:r>
          </w:p>
        </w:tc>
        <w:tc>
          <w:tcPr>
            <w:tcW w:w="173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19344270,5</w:t>
            </w:r>
          </w:p>
        </w:tc>
        <w:tc>
          <w:tcPr>
            <w:tcW w:w="1605"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3,3</w:t>
            </w:r>
          </w:p>
        </w:tc>
        <w:tc>
          <w:tcPr>
            <w:tcW w:w="1412"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81,7</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структуре доходной части консолидированного бюджета Ленинградской области в период 2023-2034 годов основной удельный вес (от 92,3% до 96,7%) занимают налоговые и неналоговые доходы.</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Доля безвозмездных поступлений в общем объеме доходов сократится с 7,7% в 2023 году до 3,3%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 динамика налоговых и неналоговых доходов консолидированного бюджета Ленинградской области за период 2023-2034 годов характеризуются следующими показателями:</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jc w:val="right"/>
        <w:rPr>
          <w:rFonts w:ascii="Times New Roman" w:hAnsi="Times New Roman" w:cs="Times New Roman"/>
          <w:sz w:val="24"/>
          <w:szCs w:val="24"/>
        </w:rPr>
      </w:pPr>
      <w:r w:rsidRPr="00C34C74">
        <w:rPr>
          <w:rFonts w:ascii="Times New Roman" w:hAnsi="Times New Roman" w:cs="Times New Roman"/>
          <w:sz w:val="24"/>
          <w:szCs w:val="24"/>
        </w:rPr>
        <w:t>(тыс. руб.)</w:t>
      </w:r>
    </w:p>
    <w:p w:rsidR="00C34C74" w:rsidRPr="00C34C74" w:rsidRDefault="00C34C74" w:rsidP="00C34C74">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1531"/>
        <w:gridCol w:w="1474"/>
        <w:gridCol w:w="1531"/>
        <w:gridCol w:w="1474"/>
        <w:gridCol w:w="1191"/>
      </w:tblGrid>
      <w:tr w:rsidR="00C34C74" w:rsidRPr="00C34C74" w:rsidTr="00C34C74">
        <w:tc>
          <w:tcPr>
            <w:tcW w:w="3039"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Показатель</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2023 год</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налоговых и неналоговых доходов, %</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2034 год</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Удельный вес в общем объеме налоговых и неналоговых доходов, %</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Динамика за период 2023-2034 годов, %</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Налоговые и неналоговые доходы</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282401010,8</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562620219,0</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100,0</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199,2</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1.1. Налоговые доходы</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266041252,3</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94,2</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546606299,1</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97,2</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205,5</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в том числе:</w:t>
            </w:r>
          </w:p>
        </w:tc>
        <w:tc>
          <w:tcPr>
            <w:tcW w:w="1531" w:type="dxa"/>
          </w:tcPr>
          <w:p w:rsidR="00C34C74" w:rsidRPr="00C34C74" w:rsidRDefault="00C34C74" w:rsidP="00C34C74">
            <w:pPr>
              <w:pStyle w:val="ConsPlusNormal"/>
              <w:rPr>
                <w:rFonts w:ascii="Times New Roman" w:hAnsi="Times New Roman" w:cs="Times New Roman"/>
                <w:sz w:val="24"/>
                <w:szCs w:val="24"/>
              </w:rPr>
            </w:pP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531" w:type="dxa"/>
          </w:tcPr>
          <w:p w:rsidR="00C34C74" w:rsidRPr="00C34C74" w:rsidRDefault="00C34C74" w:rsidP="00C34C74">
            <w:pPr>
              <w:pStyle w:val="ConsPlusNormal"/>
              <w:rPr>
                <w:rFonts w:ascii="Times New Roman" w:hAnsi="Times New Roman" w:cs="Times New Roman"/>
                <w:sz w:val="24"/>
                <w:szCs w:val="24"/>
              </w:rPr>
            </w:pPr>
          </w:p>
        </w:tc>
        <w:tc>
          <w:tcPr>
            <w:tcW w:w="1474" w:type="dxa"/>
          </w:tcPr>
          <w:p w:rsidR="00C34C74" w:rsidRPr="00C34C74" w:rsidRDefault="00C34C74" w:rsidP="00C34C74">
            <w:pPr>
              <w:pStyle w:val="ConsPlusNormal"/>
              <w:rPr>
                <w:rFonts w:ascii="Times New Roman" w:hAnsi="Times New Roman" w:cs="Times New Roman"/>
                <w:sz w:val="24"/>
                <w:szCs w:val="24"/>
              </w:rPr>
            </w:pPr>
          </w:p>
        </w:tc>
        <w:tc>
          <w:tcPr>
            <w:tcW w:w="1191" w:type="dxa"/>
          </w:tcPr>
          <w:p w:rsidR="00C34C74" w:rsidRPr="00C34C74" w:rsidRDefault="00C34C74" w:rsidP="00C34C74">
            <w:pPr>
              <w:pStyle w:val="ConsPlusNormal"/>
              <w:rPr>
                <w:rFonts w:ascii="Times New Roman" w:hAnsi="Times New Roman" w:cs="Times New Roman"/>
                <w:sz w:val="24"/>
                <w:szCs w:val="24"/>
              </w:rPr>
            </w:pP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 на прибыль организаций</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124470473,2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44,1</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197539612,8</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35,1</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158,7</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lastRenderedPageBreak/>
              <w:t>налог на доходы физических лиц</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74883308,2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26,5</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221453065,5</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39,4</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295,7</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акцизы</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14926912,2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5,3</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27180110,2</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4,8</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182,1</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налог на имущество организаций</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29360298,6</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10,4</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54117522,5</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9,6</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184,3</w:t>
            </w:r>
          </w:p>
        </w:tc>
      </w:tr>
      <w:tr w:rsidR="00C34C74" w:rsidRPr="00C34C74" w:rsidTr="00C34C74">
        <w:tc>
          <w:tcPr>
            <w:tcW w:w="3039" w:type="dxa"/>
          </w:tcPr>
          <w:p w:rsidR="00C34C74" w:rsidRPr="00C34C74" w:rsidRDefault="00C34C74" w:rsidP="00C34C74">
            <w:pPr>
              <w:pStyle w:val="ConsPlusNormal"/>
              <w:rPr>
                <w:rFonts w:ascii="Times New Roman" w:hAnsi="Times New Roman" w:cs="Times New Roman"/>
                <w:sz w:val="24"/>
                <w:szCs w:val="24"/>
              </w:rPr>
            </w:pPr>
            <w:r w:rsidRPr="00C34C74">
              <w:rPr>
                <w:rFonts w:ascii="Times New Roman" w:hAnsi="Times New Roman" w:cs="Times New Roman"/>
                <w:sz w:val="24"/>
                <w:szCs w:val="24"/>
              </w:rPr>
              <w:t>1.2. Неналоговые доходы</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16359758,5</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5,8</w:t>
            </w:r>
          </w:p>
        </w:tc>
        <w:tc>
          <w:tcPr>
            <w:tcW w:w="153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16013919,9</w:t>
            </w:r>
          </w:p>
        </w:tc>
        <w:tc>
          <w:tcPr>
            <w:tcW w:w="1474"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2,8</w:t>
            </w:r>
          </w:p>
        </w:tc>
        <w:tc>
          <w:tcPr>
            <w:tcW w:w="1191" w:type="dxa"/>
          </w:tcPr>
          <w:p w:rsidR="00C34C74" w:rsidRPr="00C34C74" w:rsidRDefault="00C34C74" w:rsidP="00C34C74">
            <w:pPr>
              <w:pStyle w:val="ConsPlusNormal"/>
              <w:jc w:val="center"/>
              <w:rPr>
                <w:rFonts w:ascii="Times New Roman" w:hAnsi="Times New Roman" w:cs="Times New Roman"/>
                <w:sz w:val="24"/>
                <w:szCs w:val="24"/>
              </w:rPr>
            </w:pPr>
            <w:r w:rsidRPr="00C34C74">
              <w:rPr>
                <w:rFonts w:ascii="Times New Roman" w:hAnsi="Times New Roman" w:cs="Times New Roman"/>
                <w:sz w:val="24"/>
                <w:szCs w:val="24"/>
              </w:rPr>
              <w:t>97,9</w:t>
            </w:r>
          </w:p>
        </w:tc>
      </w:tr>
    </w:tbl>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структуре налоговых и неналоговых доходов консолидированного бюджета Ленинградской области основной удельный вес в долгосрочной перспективе будут занимать налоговые доходы, их удельный вес к 2034 году составит 97,2%.</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Основными налоговыми доходными источниками консолидированного бюджета Ленинградской области по-прежнему останутся налог на прибыль организаций, налог на доходы физических лиц, налог на имущество организаций, акцизы. Удельный вес перечисленных налогов составит к 2034 году 91,5% от общего объема налоговых доходов консолидированного бюджета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 поступлений по налоговым доходам за период 2023-2034 годов с учетом утвержденных макроэкономических показателей по прогнозу социально-экономического развития Ленинградской области составит 205,5%.</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Достижение прогнозируемых показателей темпа роста фонда заработной платы может позволить к 2034 году повысить значимость налога на доходы физических лиц в структуре налоговых и неналоговых доходов консолидированного бюджета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Отмечается существенный рост прогнозируемых поступлений по налогу на имущество организаций к 2034 году, что является результатом проводимой политики по поддержке и развитию инвестиционной деятельности в регионе.</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структуре неналоговых доходов консолидированного бюджета Ленинградской области основной удельный вес занимают доходы от использования имущества, находящегося в государственной и муниципальной собственности, доходы от продажи указанного имущества, платежи при пользовании природными ресурсами, а также доходы от оказания платных услуг и компенсации затрат государства.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долгосрочном периоде ожидается отрицательная динамика поступления неналоговых доходов (97,9%) в основном за счет снижения доходов от размещения временно свободных средств областного бюджета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Рост расходов консолидированного бюджета Ленинградской области за период 2023-2034 годов с учетом макроэкономических показателей прогноза социально-экономического развития Ленинградской области на долгосрочный период составит 220,9%.</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Динамика расходов консолидированного бюджета Ленинградской области будет повторять динамику объема расходов областного бюджета Ленинградской области, доля которого в расходах консолидированного бюджета Ленинградской области будет держаться на уровне 79-80%.</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Начиная с 2026 года исполнение консолидированного бюджета Ленинградской области планируется с дефицитом в размере от 11,1% общего объема доходов консолидированного бюджета Ленинградской области без учета утвержденного объема безвозмездных поступлений до 0,6% к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Структура источников финансирования дефицита консолидированного бюджета Ленинградской области будет повторять структуру источников финансирования дефицита областного бюджета Ленинградской области.</w:t>
      </w:r>
    </w:p>
    <w:p w:rsidR="00C34C74" w:rsidRPr="00C34C74" w:rsidRDefault="00C34C74" w:rsidP="00C34C74">
      <w:pPr>
        <w:pStyle w:val="ConsPlusNormal"/>
        <w:rPr>
          <w:rFonts w:ascii="Times New Roman" w:hAnsi="Times New Roman" w:cs="Times New Roman"/>
          <w:sz w:val="24"/>
          <w:szCs w:val="24"/>
        </w:rPr>
      </w:pPr>
    </w:p>
    <w:p w:rsidR="00C34C74" w:rsidRDefault="00C34C74" w:rsidP="00C34C74">
      <w:pPr>
        <w:pStyle w:val="ConsPlusTitle"/>
        <w:jc w:val="center"/>
        <w:outlineLvl w:val="1"/>
        <w:rPr>
          <w:rFonts w:ascii="Times New Roman" w:hAnsi="Times New Roman" w:cs="Times New Roman"/>
          <w:sz w:val="24"/>
          <w:szCs w:val="24"/>
        </w:rPr>
      </w:pPr>
      <w:bookmarkStart w:id="3" w:name="P417"/>
      <w:bookmarkEnd w:id="3"/>
    </w:p>
    <w:p w:rsidR="00C34C74" w:rsidRDefault="00C34C74" w:rsidP="00C34C74">
      <w:pPr>
        <w:pStyle w:val="ConsPlusTitle"/>
        <w:jc w:val="center"/>
        <w:outlineLvl w:val="1"/>
        <w:rPr>
          <w:rFonts w:ascii="Times New Roman" w:hAnsi="Times New Roman" w:cs="Times New Roman"/>
          <w:sz w:val="24"/>
          <w:szCs w:val="24"/>
        </w:rPr>
      </w:pPr>
    </w:p>
    <w:p w:rsidR="00C34C74" w:rsidRDefault="00C34C74" w:rsidP="00C34C74">
      <w:pPr>
        <w:pStyle w:val="ConsPlusTitle"/>
        <w:jc w:val="center"/>
        <w:outlineLvl w:val="1"/>
        <w:rPr>
          <w:rFonts w:ascii="Times New Roman" w:hAnsi="Times New Roman" w:cs="Times New Roman"/>
          <w:sz w:val="24"/>
          <w:szCs w:val="24"/>
        </w:rPr>
      </w:pPr>
    </w:p>
    <w:p w:rsidR="00C34C74" w:rsidRPr="00C34C74" w:rsidRDefault="00C34C74" w:rsidP="00C34C74">
      <w:pPr>
        <w:pStyle w:val="ConsPlusTitle"/>
        <w:jc w:val="center"/>
        <w:outlineLvl w:val="1"/>
        <w:rPr>
          <w:rFonts w:ascii="Times New Roman" w:hAnsi="Times New Roman" w:cs="Times New Roman"/>
          <w:sz w:val="24"/>
          <w:szCs w:val="24"/>
        </w:rPr>
      </w:pPr>
      <w:r w:rsidRPr="00C34C74">
        <w:rPr>
          <w:rFonts w:ascii="Times New Roman" w:hAnsi="Times New Roman" w:cs="Times New Roman"/>
          <w:sz w:val="24"/>
          <w:szCs w:val="24"/>
        </w:rPr>
        <w:lastRenderedPageBreak/>
        <w:t>3. Прогноз основных характеристик консолидированного</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и областного бюджетов Ленинградской области</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на период до 2034 года</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Прогноз основных характеристик областного бюджета Ленинградской области на период до 2034 года представлен в </w:t>
      </w:r>
      <w:hyperlink w:anchor="P1505">
        <w:r w:rsidRPr="00C34C74">
          <w:rPr>
            <w:rFonts w:ascii="Times New Roman" w:hAnsi="Times New Roman" w:cs="Times New Roman"/>
            <w:color w:val="0000FF"/>
            <w:sz w:val="24"/>
            <w:szCs w:val="24"/>
          </w:rPr>
          <w:t>приложении 3</w:t>
        </w:r>
      </w:hyperlink>
      <w:r w:rsidRPr="00C34C74">
        <w:rPr>
          <w:rFonts w:ascii="Times New Roman" w:hAnsi="Times New Roman" w:cs="Times New Roman"/>
          <w:sz w:val="24"/>
          <w:szCs w:val="24"/>
        </w:rPr>
        <w:t xml:space="preserve"> к Бюджетному прогнозу.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соответствии с Бюджетным прогнозом ожидается увеличение доходов областного бюджета Ленинградской области к 2034 году по сравнению с 2023 годом в 1,8 раза.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На протяжении всего прогнозируемого периода наблюдается постепенное снижение удельного веса доходов в объеме валового регионального продукта (далее - ВРП) - с 14,4% в 2023 году до 10,5% в 2024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Расходы областного бюджета Ленинградской области увеличатся к 2034 году в 2,1 раза по сравнению с 2023 годом, их удельный вес в объеме ВРП на протяжении всего прогнозируемого периода будет постепенно снижаться с 12,3% в 2023 году до 10,5%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Дефицит областного бюджета Ленинградской области в прогнозируемый период будет снижаться, его удельный вес в объеме ВРП к 2034 году составит 0,04%.</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Несмотря на тенденцию к снижению дефицита областного бюджета Ленинградской области в долгосрочном периоде, прогнозируется увеличение государственного долга Ленинградской области к 2034 году по сравнению с 2023 годом в 3,7 раза, его удельный вес в объеме ВРП увеличится с 0,5% в 2023 году до 0,8% в 2034 году.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При этом объем государственного долга останется на экономически безопасном уровне и Ленинградская область сохранит свою позицию в группе заемщиков с высоким уровнем долговой устойчивости.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Прогноз основных характеристик консолидированного бюджета Ленинградской области на период до 2034 года представлен в </w:t>
      </w:r>
      <w:hyperlink w:anchor="P1780">
        <w:r w:rsidRPr="00C34C74">
          <w:rPr>
            <w:rFonts w:ascii="Times New Roman" w:hAnsi="Times New Roman" w:cs="Times New Roman"/>
            <w:color w:val="0000FF"/>
            <w:sz w:val="24"/>
            <w:szCs w:val="24"/>
          </w:rPr>
          <w:t>приложении 4</w:t>
        </w:r>
      </w:hyperlink>
      <w:r w:rsidRPr="00C34C74">
        <w:rPr>
          <w:rFonts w:ascii="Times New Roman" w:hAnsi="Times New Roman" w:cs="Times New Roman"/>
          <w:sz w:val="24"/>
          <w:szCs w:val="24"/>
        </w:rPr>
        <w:t xml:space="preserve"> к Бюджетному прогнозу.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Динамика показателей прогноза основных характеристик консолидированного бюджета Ленинградской области на период до 2034 года в целом будет повторять тенденции, складывающиеся по областному бюджету Ленинградской области.</w:t>
      </w:r>
    </w:p>
    <w:p w:rsidR="00C34C74" w:rsidRPr="00C34C74" w:rsidRDefault="00C34C74" w:rsidP="00C34C74">
      <w:pPr>
        <w:pStyle w:val="ConsPlusNormal"/>
        <w:rPr>
          <w:rFonts w:ascii="Times New Roman" w:hAnsi="Times New Roman" w:cs="Times New Roman"/>
          <w:sz w:val="24"/>
          <w:szCs w:val="24"/>
        </w:rPr>
      </w:pPr>
    </w:p>
    <w:p w:rsidR="00C34C74" w:rsidRPr="00C34C74" w:rsidRDefault="00C34C74" w:rsidP="00C34C74">
      <w:pPr>
        <w:pStyle w:val="ConsPlusTitle"/>
        <w:jc w:val="center"/>
        <w:outlineLvl w:val="1"/>
        <w:rPr>
          <w:rFonts w:ascii="Times New Roman" w:hAnsi="Times New Roman" w:cs="Times New Roman"/>
          <w:sz w:val="24"/>
          <w:szCs w:val="24"/>
        </w:rPr>
      </w:pPr>
      <w:r w:rsidRPr="00C34C74">
        <w:rPr>
          <w:rFonts w:ascii="Times New Roman" w:hAnsi="Times New Roman" w:cs="Times New Roman"/>
          <w:sz w:val="24"/>
          <w:szCs w:val="24"/>
        </w:rPr>
        <w:t>4. Показатели финансового обеспечения национальных проектов</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и государственных программ Ленинградской области</w:t>
      </w:r>
    </w:p>
    <w:p w:rsidR="00C34C74" w:rsidRPr="00C34C74" w:rsidRDefault="00C34C74" w:rsidP="00C34C74">
      <w:pPr>
        <w:pStyle w:val="ConsPlusTitle"/>
        <w:jc w:val="center"/>
        <w:rPr>
          <w:rFonts w:ascii="Times New Roman" w:hAnsi="Times New Roman" w:cs="Times New Roman"/>
          <w:sz w:val="24"/>
          <w:szCs w:val="24"/>
        </w:rPr>
      </w:pPr>
      <w:r w:rsidRPr="00C34C74">
        <w:rPr>
          <w:rFonts w:ascii="Times New Roman" w:hAnsi="Times New Roman" w:cs="Times New Roman"/>
          <w:sz w:val="24"/>
          <w:szCs w:val="24"/>
        </w:rPr>
        <w:t>на период до 2034 года</w:t>
      </w:r>
    </w:p>
    <w:p w:rsidR="00C34C74" w:rsidRPr="00C34C74" w:rsidRDefault="00C34C74" w:rsidP="00C34C74">
      <w:pPr>
        <w:pStyle w:val="ConsPlusNormal"/>
        <w:rPr>
          <w:rFonts w:ascii="Times New Roman" w:hAnsi="Times New Roman" w:cs="Times New Roman"/>
          <w:sz w:val="24"/>
          <w:szCs w:val="24"/>
        </w:rPr>
      </w:pPr>
    </w:p>
    <w:p w:rsidR="00C34C74" w:rsidRPr="00C34C74" w:rsidRDefault="004A182B" w:rsidP="00C34C74">
      <w:pPr>
        <w:pStyle w:val="ConsPlusNormal"/>
        <w:ind w:firstLine="540"/>
        <w:jc w:val="both"/>
        <w:rPr>
          <w:rFonts w:ascii="Times New Roman" w:hAnsi="Times New Roman" w:cs="Times New Roman"/>
          <w:sz w:val="24"/>
          <w:szCs w:val="24"/>
        </w:rPr>
      </w:pPr>
      <w:hyperlink w:anchor="P2058">
        <w:r w:rsidR="00C34C74" w:rsidRPr="00C34C74">
          <w:rPr>
            <w:rFonts w:ascii="Times New Roman" w:hAnsi="Times New Roman" w:cs="Times New Roman"/>
            <w:color w:val="0000FF"/>
            <w:sz w:val="24"/>
            <w:szCs w:val="24"/>
          </w:rPr>
          <w:t>Показатели</w:t>
        </w:r>
      </w:hyperlink>
      <w:r w:rsidR="00C34C74" w:rsidRPr="00C34C74">
        <w:rPr>
          <w:rFonts w:ascii="Times New Roman" w:hAnsi="Times New Roman" w:cs="Times New Roman"/>
          <w:sz w:val="24"/>
          <w:szCs w:val="24"/>
        </w:rPr>
        <w:t xml:space="preserve"> финансового обеспечения национальных проектов и государственных программ Ленинградской области на период до 2034 года представлены в приложении 5 к Бюджетному прогнозу.</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Во исполнение национальных целей, утвержденных </w:t>
      </w:r>
      <w:hyperlink r:id="rId16">
        <w:r w:rsidRPr="00C34C74">
          <w:rPr>
            <w:rFonts w:ascii="Times New Roman" w:hAnsi="Times New Roman" w:cs="Times New Roman"/>
            <w:color w:val="0000FF"/>
            <w:sz w:val="24"/>
            <w:szCs w:val="24"/>
          </w:rPr>
          <w:t>Указом</w:t>
        </w:r>
      </w:hyperlink>
      <w:r w:rsidRPr="00C34C74">
        <w:rPr>
          <w:rFonts w:ascii="Times New Roman" w:hAnsi="Times New Roman" w:cs="Times New Roman"/>
          <w:sz w:val="24"/>
          <w:szCs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Ленинградская область участвует в реализации 11 национальных проектов.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Финансовое обеспечение 36 региональных проектов, направленных на реализацию федеральных проектов, входящих в состав соответствующих национальных проектов, за период с 2025 года по 2028 год прогнозируется в сумме 122,9 млрд рублей, что составит в среднем 10% от общего объема запланированных расходов.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В Ленинградской области реализуется 18 государственных программ с периодом реализации до 2030 года:</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здравоохранения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"Современное образование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"Социальная поддержка отдельных категорий граждан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физической культуры и спорта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культуры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"Формирование городской среды и обеспечение качественным жильем граждан на </w:t>
      </w:r>
      <w:r w:rsidRPr="00C34C74">
        <w:rPr>
          <w:rFonts w:ascii="Times New Roman" w:hAnsi="Times New Roman" w:cs="Times New Roman"/>
          <w:sz w:val="24"/>
          <w:szCs w:val="24"/>
        </w:rPr>
        <w:lastRenderedPageBreak/>
        <w:t>территории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 xml:space="preserve">"Обеспечение устойчивого функционирования и развития коммунальной и инженерной инфраструктуры и повышение </w:t>
      </w:r>
      <w:proofErr w:type="spellStart"/>
      <w:r w:rsidRPr="00C34C74">
        <w:rPr>
          <w:rFonts w:ascii="Times New Roman" w:hAnsi="Times New Roman" w:cs="Times New Roman"/>
          <w:sz w:val="24"/>
          <w:szCs w:val="24"/>
        </w:rPr>
        <w:t>энергоэффективности</w:t>
      </w:r>
      <w:proofErr w:type="spellEnd"/>
      <w:r w:rsidRPr="00C34C74">
        <w:rPr>
          <w:rFonts w:ascii="Times New Roman" w:hAnsi="Times New Roman" w:cs="Times New Roman"/>
          <w:sz w:val="24"/>
          <w:szCs w:val="24"/>
        </w:rPr>
        <w:t xml:space="preserve">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"Безопасность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"Охрана окружающей среды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"Цифровое развитие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"Стимулирование экономической активности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транспортной системы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сельского хозяйства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"Управление государственными финансами и государственным долгом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"Устойчивое общественное развитие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"Содействие занятости населения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"Развитие внутреннего и въездного туризма в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"Комплексное развитие сельских территорий Ленинградской области".</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Бюджетные ассигнования на финансовое обеспечение расходов в рамках государственных программ Ленинградской области на 2023 год составили 92,6% от общего объема запланированных расходов, на непрограммные расходы - 7,4% от общего объема запланированных расходов.</w:t>
      </w:r>
    </w:p>
    <w:p w:rsidR="00C34C74" w:rsidRPr="00C34C74"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Снижение удельного веса программных расходов в общем объеме расходов областного бюджета Ленинградской области начиная с 2026 года обусловлено увеличением объема зарезервированных бюджетных ассигнований, условно утвержденных расходов, которые учтены в непрограммных расходах. Снижение объема финансового обеспечения государственных программ Ленинградской области, начиная с 2029 года по 2030 год, обусловлено отсутствием межбюджетных трансфертов из федерального бюджета в паспортах государственных программ Ленинградской области.</w:t>
      </w:r>
    </w:p>
    <w:p w:rsidR="00C6738A" w:rsidRDefault="00C34C74" w:rsidP="00C34C74">
      <w:pPr>
        <w:pStyle w:val="ConsPlusNormal"/>
        <w:ind w:firstLine="540"/>
        <w:jc w:val="both"/>
        <w:rPr>
          <w:rFonts w:ascii="Times New Roman" w:hAnsi="Times New Roman" w:cs="Times New Roman"/>
          <w:sz w:val="24"/>
          <w:szCs w:val="24"/>
        </w:rPr>
      </w:pPr>
      <w:r w:rsidRPr="00C34C74">
        <w:rPr>
          <w:rFonts w:ascii="Times New Roman" w:hAnsi="Times New Roman" w:cs="Times New Roman"/>
          <w:sz w:val="24"/>
          <w:szCs w:val="24"/>
        </w:rPr>
        <w:t>На протяжении всего прогнозируемого периода планируется сохранять уровень программных расходов не ниже 90,0% от общего объема расходов областного бюджета Ленинградской области.</w:t>
      </w:r>
    </w:p>
    <w:p w:rsidR="00C6738A" w:rsidRDefault="00C6738A" w:rsidP="00C34C74">
      <w:pPr>
        <w:pStyle w:val="ConsPlusNormal"/>
        <w:ind w:firstLine="540"/>
        <w:jc w:val="both"/>
        <w:rPr>
          <w:rFonts w:ascii="Times New Roman" w:hAnsi="Times New Roman" w:cs="Times New Roman"/>
          <w:sz w:val="24"/>
          <w:szCs w:val="24"/>
        </w:rPr>
        <w:sectPr w:rsidR="00C6738A" w:rsidSect="00C6738A">
          <w:pgSz w:w="11905" w:h="16838"/>
          <w:pgMar w:top="1134" w:right="567" w:bottom="1134" w:left="1134" w:header="0" w:footer="0" w:gutter="0"/>
          <w:cols w:space="720"/>
          <w:titlePg/>
          <w:docGrid w:linePitch="299"/>
        </w:sectPr>
      </w:pPr>
    </w:p>
    <w:p w:rsidR="00C34C74" w:rsidRPr="00C34C74" w:rsidRDefault="00C34C74">
      <w:pPr>
        <w:pStyle w:val="ConsPlusNormal"/>
        <w:jc w:val="right"/>
        <w:outlineLvl w:val="1"/>
        <w:rPr>
          <w:rFonts w:ascii="Times New Roman" w:hAnsi="Times New Roman" w:cs="Times New Roman"/>
        </w:rPr>
      </w:pPr>
      <w:r w:rsidRPr="00C34C74">
        <w:rPr>
          <w:rFonts w:ascii="Times New Roman" w:hAnsi="Times New Roman" w:cs="Times New Roman"/>
        </w:rPr>
        <w:lastRenderedPageBreak/>
        <w:t>Приложение 1</w:t>
      </w: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к Бюджетному прогнозу</w:t>
      </w: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1</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Основные параметры областного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1 (консервативный)</w:t>
      </w:r>
    </w:p>
    <w:p w:rsidR="00C34C74" w:rsidRPr="00C34C74" w:rsidRDefault="00C6738A" w:rsidP="00C6738A">
      <w:pPr>
        <w:pStyle w:val="ConsPlusNormal"/>
        <w:jc w:val="right"/>
        <w:rPr>
          <w:rFonts w:ascii="Times New Roman" w:hAnsi="Times New Roman" w:cs="Times New Roman"/>
        </w:rPr>
      </w:pPr>
      <w:r>
        <w:rPr>
          <w:rFonts w:ascii="Times New Roman" w:hAnsi="Times New Roman" w:cs="Times New Roman"/>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57"/>
        <w:gridCol w:w="1090"/>
        <w:gridCol w:w="1090"/>
        <w:gridCol w:w="1090"/>
        <w:gridCol w:w="1090"/>
        <w:gridCol w:w="1090"/>
        <w:gridCol w:w="1090"/>
        <w:gridCol w:w="1090"/>
        <w:gridCol w:w="1090"/>
        <w:gridCol w:w="1090"/>
        <w:gridCol w:w="1091"/>
        <w:gridCol w:w="1090"/>
        <w:gridCol w:w="1090"/>
        <w:gridCol w:w="1090"/>
      </w:tblGrid>
      <w:tr w:rsidR="00C34C74" w:rsidRPr="00C34C74" w:rsidTr="00C6738A">
        <w:trPr>
          <w:trHeight w:val="883"/>
        </w:trPr>
        <w:tc>
          <w:tcPr>
            <w:tcW w:w="169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192240126,3</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252484025,7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271150798,3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281924182,6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278808637,8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293245079,3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303642785,3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315148622,8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327113349,4</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339555307,2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352493571,8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365947981,7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379939169,1</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Налоговые доходы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158372681,2</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221363960,5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231178204,5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233475186,0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254401200,0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267605000,0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281223700,0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292472648,0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304171553,9</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316338416,1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328991952,7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342151630,8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355837696,1</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прибыль организаций</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74342353,5</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124470473,2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114578631,4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103289612,4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110534200,0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116625100,0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123743700,0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128693448,0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133841185,9</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139194833,4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144762626,7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150553131,8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156575257,0</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доходы физических лиц</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40220247,6</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47974218,1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63054718,3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73616226,4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84751500,0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91250700,0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97306700,0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101198968,0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105246926,7</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109456803,8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113835075,9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118388479,0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123124018,1</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Акцизы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12946318,0</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14050454,9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15044353,2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18194561,2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19574700,0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19816200,0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19862500,0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20657000,0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21483280,0</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22342611,2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23236315,6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24165768,3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25132399,0</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имущество организаций</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25857770,8</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29360298,6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32308456,5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31881527,1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32812400,0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32803200,0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32901900,0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34217976,0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35586695,0</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37010162,8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38490569,4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40030192,1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41631399,8</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Неналоговые доходы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7220251,5</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7347927,4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19767963,8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24040355,2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4469800,0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4498500,0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4481500,0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4526315,0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4571578,2</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4617293,9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4663466,9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4710101,5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4757202,6</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3. Безвозмездные поступления</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26647193,6</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23772137,8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20204630,0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24408641,4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19937637,8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21141579,3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17937585,3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18149659,8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18370217,3</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18599597,2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18838152,2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19086249,4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19344270,5</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том числе: из федерального бюджета</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21946472,9</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17005274,4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15747587,2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21433783,5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18348092,8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19534783,4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17361060,0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17550073,5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17746647,6</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17951084,6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18163699,1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18384818,2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18614782,0</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Дотации</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832119,6</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205280,2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209771,9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225778,9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Субсидии</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9031523,8</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9051510,7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10622490,1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14722222,6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12523343,2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13434363,0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Субвенции</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4429951,9</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3137970,6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3263188,2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3969803,4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4089461,5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4338082,3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4725338,0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4914351,5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5110925,6</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5315362,6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5527977,1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5749096,2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5979060,0</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Иные межбюджетные трансферты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7652877,6</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4610512,9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1652137,0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2515978,6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1735288,1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1762338,1</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196774255,2</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215318586,4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256091302,3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300730376,4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306527034,4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305125813,2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310085648,5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317937011,4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329896474,9</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342098432,7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355136697,3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367691107,2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381732294,6</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Межбюджетные трансферты</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69952816,5</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76385547,0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93648341,6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96055288,2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101149350,9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99336694,9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98052316,8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103336084,8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109968777,6</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118902657,2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126583951,0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134339054,0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142883731,2</w:t>
            </w:r>
          </w:p>
        </w:tc>
      </w:tr>
      <w:tr w:rsidR="00C34C74" w:rsidRPr="00C34C74" w:rsidTr="00C6738A">
        <w:tc>
          <w:tcPr>
            <w:tcW w:w="1694" w:type="dxa"/>
          </w:tcPr>
          <w:p w:rsidR="00C34C74" w:rsidRPr="00C34C74" w:rsidRDefault="00C34C74">
            <w:pPr>
              <w:pStyle w:val="ConsPlusNormal"/>
              <w:ind w:firstLine="283"/>
              <w:rPr>
                <w:rFonts w:ascii="Times New Roman" w:hAnsi="Times New Roman" w:cs="Times New Roman"/>
                <w:sz w:val="18"/>
                <w:szCs w:val="18"/>
              </w:rPr>
            </w:pPr>
            <w:r w:rsidRPr="00C34C74">
              <w:rPr>
                <w:rFonts w:ascii="Times New Roman" w:hAnsi="Times New Roman" w:cs="Times New Roman"/>
                <w:sz w:val="18"/>
                <w:szCs w:val="18"/>
              </w:rPr>
              <w:t>удельный вес МБТ в общих расходах</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33,3</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37,4</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Расходы без учета межбюджетных трансфертов</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126821438,7</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138933039,4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162442960,7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204675088,2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205377683,5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205789118,3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212033331,7</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214600926,6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219927697,3</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223195775,4</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228552746,3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233352053,2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238848563,4</w:t>
            </w:r>
          </w:p>
        </w:tc>
      </w:tr>
      <w:tr w:rsidR="00C34C74" w:rsidRPr="00C34C74" w:rsidTr="00C6738A">
        <w:tc>
          <w:tcPr>
            <w:tcW w:w="1694"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-4534128,9</w:t>
            </w:r>
          </w:p>
        </w:tc>
        <w:tc>
          <w:tcPr>
            <w:tcW w:w="111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37165439,3</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15059496,0</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-18806193,8</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-27718396,6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-11880733,9</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-6442863,2</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-2788388,6</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-2783125,5</w:t>
            </w:r>
          </w:p>
        </w:tc>
        <w:tc>
          <w:tcPr>
            <w:tcW w:w="111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-2543125,5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-2643125,5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-1743125,5</w:t>
            </w:r>
          </w:p>
        </w:tc>
        <w:tc>
          <w:tcPr>
            <w:tcW w:w="1113"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-1793125,5</w:t>
            </w:r>
          </w:p>
        </w:tc>
      </w:tr>
    </w:tbl>
    <w:p w:rsidR="00C6738A" w:rsidRDefault="00C6738A">
      <w:pPr>
        <w:pStyle w:val="ConsPlusNormal"/>
        <w:jc w:val="right"/>
        <w:outlineLvl w:val="2"/>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2</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Основные параметры областного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2 (базовый)</w:t>
      </w: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тыс. руб.</w:t>
      </w:r>
    </w:p>
    <w:p w:rsidR="00C34C74" w:rsidRPr="00C34C74" w:rsidRDefault="00C34C74">
      <w:pPr>
        <w:pStyle w:val="ConsPlusNormal"/>
        <w:spacing w:after="1"/>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57"/>
        <w:gridCol w:w="1090"/>
        <w:gridCol w:w="1090"/>
        <w:gridCol w:w="1090"/>
        <w:gridCol w:w="1090"/>
        <w:gridCol w:w="1090"/>
        <w:gridCol w:w="1090"/>
        <w:gridCol w:w="1090"/>
        <w:gridCol w:w="1090"/>
        <w:gridCol w:w="1090"/>
        <w:gridCol w:w="1091"/>
        <w:gridCol w:w="1090"/>
        <w:gridCol w:w="1090"/>
        <w:gridCol w:w="1090"/>
      </w:tblGrid>
      <w:tr w:rsidR="00C34C74" w:rsidRPr="00C34C74">
        <w:tc>
          <w:tcPr>
            <w:tcW w:w="226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192240126,3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252484025,7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271150798,3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281924182,6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281813483,8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296890346,3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307408247,3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328205226,7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349704813,5</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381214976,3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405850002,2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432197523,1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459366402,5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158372681,2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221363960,5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231178204,5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233475186,0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256290421,0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270125550,0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283864845,1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304393691,8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325616102,4</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356839700,3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381178414,5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407219503,8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434071444,4</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прибыль организаций</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74342353,5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124470473,2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114578631,4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103289612,4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111405437,0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117774073,8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124956906,4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134565765,2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144075401,4</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162855378,5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173853066,6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185589805,1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197539612,8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Налог на доходы физических лиц</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40220247,6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47974218,1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63054718,3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73616226,4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85419542,5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92149688,6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98260668,3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105335436,4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112919587,8</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121049798,1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129765383,6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139108491,2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148846085,6</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Акцизы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12946318,0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14050454,9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15044353,2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18194561,2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19729018,3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20011412,2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20057190,2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20864252,3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21703990,9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22577383,2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23486135,0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24431694,6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25415096,4</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имущество организаций</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25857770,8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29360298,6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32308456,5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31881527,1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33071028,5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33126359,2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33224526,6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36139827,4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39302640,3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42613278,1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46197143,9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50076439,9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54117522,5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Неналоговые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7220251,5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7347927,4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19767963,8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24040355,2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5585425,0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5623217,0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5605816,9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5661875,1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5718493,8</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5775678,8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5833435,5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5891769,9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5950687,6</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3. Безвозмездные поступления</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26647193,6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23772137,8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20204630,0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24408641,4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19937637,8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21141579,3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17937585,3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18149659,8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18370217,3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18599597,2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18838152,2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19086249,4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19344270,5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том числе: из федерального бюджета</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21946472,9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17005274,4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15747587,2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21433783,5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18348092,8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19534783,4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17361060,0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17550073,5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17746647,6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17951084,6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18163699,1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18384818,2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18614782,0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Дотации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832119,6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205280,2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209771,9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225778,9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Субсидии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9031523,8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9051510,7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10622490,1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14722222,6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12523343,2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13434363,0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Субвенции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4429951,9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3137970,6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3263188,2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3969803,4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4089461,5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4338082,3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4725338,0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4914351,5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5110925,6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5315362,6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5527977,1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5749096,2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5979060,0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Иные межбюджетные трансферты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7652877,6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4610512,9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1652137,0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2515978,6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1735288,1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1762338,1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196774255,2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215318586,4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256091302,3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300730376,4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309531880,4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308771080,2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313851110,5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330993615,3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352487939,0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383758101,8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408493127,7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433940648,6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461159528,0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Межбюджетные трансферты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69952816,5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76385547,0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93648341,6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96055288,2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101149350,9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99336694,9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98052316,8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103336084,8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109968777,6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118902657,2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126583951,0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134339054,0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142883731,2</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Расходы без учета межбюджетных трансфертов</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126821438,7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138933039,4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162442960,7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204675088,2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208382529,5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209434385,3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215798793,7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227657530,5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242519161,4</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264855444,5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281909176,7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299601594,6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318275796,8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-4534128,9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37165439,3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15059496,0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-18806193,8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-27718396,6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-11880733,9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-6442863,2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-2788388,6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-2783125,5</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-2543125,5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-2643125,5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-1743125,5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-1793125,5</w:t>
            </w:r>
          </w:p>
        </w:tc>
      </w:tr>
    </w:tbl>
    <w:p w:rsidR="00C34C74" w:rsidRPr="00C34C74" w:rsidRDefault="00C34C74">
      <w:pPr>
        <w:pStyle w:val="ConsPlusNormal"/>
        <w:rPr>
          <w:rFonts w:ascii="Times New Roman" w:hAnsi="Times New Roman" w:cs="Times New Roman"/>
        </w:rPr>
      </w:pPr>
    </w:p>
    <w:p w:rsidR="00C34C74" w:rsidRPr="00C34C74" w:rsidRDefault="00C34C74">
      <w:pPr>
        <w:pStyle w:val="ConsPlusNormal"/>
        <w:rPr>
          <w:rFonts w:ascii="Times New Roman" w:hAnsi="Times New Roman" w:cs="Times New Roman"/>
        </w:rPr>
      </w:pPr>
    </w:p>
    <w:p w:rsidR="00C6738A" w:rsidRDefault="00C6738A">
      <w:pPr>
        <w:pStyle w:val="ConsPlusNormal"/>
        <w:jc w:val="right"/>
        <w:outlineLvl w:val="1"/>
        <w:rPr>
          <w:rFonts w:ascii="Times New Roman" w:hAnsi="Times New Roman" w:cs="Times New Roman"/>
        </w:rPr>
      </w:pPr>
      <w:bookmarkStart w:id="4" w:name="P1006"/>
      <w:bookmarkEnd w:id="4"/>
    </w:p>
    <w:p w:rsidR="00C6738A" w:rsidRDefault="00C6738A">
      <w:pPr>
        <w:pStyle w:val="ConsPlusNormal"/>
        <w:jc w:val="right"/>
        <w:outlineLvl w:val="1"/>
        <w:rPr>
          <w:rFonts w:ascii="Times New Roman" w:hAnsi="Times New Roman" w:cs="Times New Roman"/>
        </w:rPr>
      </w:pPr>
    </w:p>
    <w:p w:rsidR="00C34C74" w:rsidRPr="00C34C74" w:rsidRDefault="00C34C74">
      <w:pPr>
        <w:pStyle w:val="ConsPlusNormal"/>
        <w:jc w:val="right"/>
        <w:outlineLvl w:val="1"/>
        <w:rPr>
          <w:rFonts w:ascii="Times New Roman" w:hAnsi="Times New Roman" w:cs="Times New Roman"/>
        </w:rPr>
      </w:pPr>
      <w:r w:rsidRPr="00C34C74">
        <w:rPr>
          <w:rFonts w:ascii="Times New Roman" w:hAnsi="Times New Roman" w:cs="Times New Roman"/>
        </w:rPr>
        <w:lastRenderedPageBreak/>
        <w:t>Приложение 2</w:t>
      </w: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к Бюджетному прогнозу</w:t>
      </w: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1</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Основные параметры консолидированного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1 (консервативный)</w:t>
      </w: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57"/>
        <w:gridCol w:w="1090"/>
        <w:gridCol w:w="1090"/>
        <w:gridCol w:w="1090"/>
        <w:gridCol w:w="1090"/>
        <w:gridCol w:w="1090"/>
        <w:gridCol w:w="1090"/>
        <w:gridCol w:w="1090"/>
        <w:gridCol w:w="1090"/>
        <w:gridCol w:w="1090"/>
        <w:gridCol w:w="1091"/>
        <w:gridCol w:w="1090"/>
        <w:gridCol w:w="1090"/>
        <w:gridCol w:w="1090"/>
      </w:tblGrid>
      <w:tr w:rsidR="00C34C74" w:rsidRPr="00C34C74">
        <w:tc>
          <w:tcPr>
            <w:tcW w:w="226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239233156,4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306088004,6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339636080,6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358203372,8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343801532,3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364604244,8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379811387,7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404606994,9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430377077,6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466077313,0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495518101,4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526966002,3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559459680,7</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198310878,2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266041252,3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290726995,2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301461322,0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312158108,9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331563347,4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3499321883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374002231,5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399016187,2</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433928443,9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462548058,6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493140190,9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524742047,1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прибыль организаций</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74342353,5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124470473,2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114578631,4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103289612,4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110534200,0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116625100,0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123743700,0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128693448,0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133841185,9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139194833,4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144762626,7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150553131,8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156575257,0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доходы физических лиц</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62828935,9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74883308,2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98204353,0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112773828,7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119992308,4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130431639,1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140344444,3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150449244,3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161281589,9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172893864,3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185342222,5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198686862,5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212594942,9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имущество организаций</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25857770,8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29360298,6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32308456,5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31881527,1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32812400,0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32803200,0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32901900,0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34217976,0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35586695,0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37010162,8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38490569,4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40030192,1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41631399,8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Акцизы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13769172,5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14926912,2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16008036,1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19291834,8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19972897,5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20577655,7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20621602,6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21446466,6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22304325,3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23196498,3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24124358,2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25089332,5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26092905,8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Неналоговые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14382587,8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16359758,5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28941995,9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32780177,5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11705785,5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11899318,1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11941614,1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12455103,6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12990673,0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13549271,9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14131890,6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14739561,9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15373363,1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3. Безвозмездные поступления</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26539690,4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23686993,8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19967089,5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23961873,3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19937637,8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21141579,3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17937585,3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18149659,8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18370217,3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18599597,2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18838152,2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19086249,4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19344270,5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том числе: из федерального бюджета</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21946472,9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17005274,4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15747587,2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21433783,5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18348092,8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19534783,4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17361060,0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17550073,5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17746647,6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17951084,6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18163699,1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18384818,2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18614782,0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Дотации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832119,6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205280,2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209771,9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225778,9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Субсидии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9031523,8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9051510,7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10622490,1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14722222,6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12523343,2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13434363,0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Субвенции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4429951,9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3137970,6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3263188,2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3969803,4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4089461,5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4338082,3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4725338,0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4914351,5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5110925,6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5315362,6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5527977,1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5749096,2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5979060,0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Иные межбюджетные трансферты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7652877,6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4610512,9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1652137,0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2515978,6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1735288,1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1762338,1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240768425,6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265047997,4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318381712,7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378031326,3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381327189,7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380392268,4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389434884,1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407403125,5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435305282,4</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471614327,1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501116385,3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530897563,6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562896086,6</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-1535269,2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41040007,2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21254367,9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-19827953,5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-37525657,4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-15788023,6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-9623496,4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-2796130,6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-4928204,9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-5537014,2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-5598283,9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-3931561,4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-3436405,9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474" w:type="dxa"/>
          </w:tcPr>
          <w:p w:rsidR="00C34C74" w:rsidRPr="00C34C74" w:rsidRDefault="00C34C74">
            <w:pPr>
              <w:pStyle w:val="ConsPlusNormal"/>
              <w:rPr>
                <w:rFonts w:ascii="Times New Roman" w:hAnsi="Times New Roman" w:cs="Times New Roman"/>
                <w:sz w:val="18"/>
                <w:szCs w:val="18"/>
              </w:rPr>
            </w:pPr>
          </w:p>
        </w:tc>
        <w:tc>
          <w:tcPr>
            <w:tcW w:w="1474" w:type="dxa"/>
          </w:tcPr>
          <w:p w:rsidR="00C34C74" w:rsidRPr="00C34C74" w:rsidRDefault="00C34C74">
            <w:pPr>
              <w:pStyle w:val="ConsPlusNormal"/>
              <w:rPr>
                <w:rFonts w:ascii="Times New Roman" w:hAnsi="Times New Roman" w:cs="Times New Roman"/>
                <w:sz w:val="18"/>
                <w:szCs w:val="18"/>
              </w:rPr>
            </w:pP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r>
    </w:tbl>
    <w:p w:rsidR="00C6738A" w:rsidRDefault="00C6738A">
      <w:pPr>
        <w:pStyle w:val="ConsPlusNormal"/>
        <w:jc w:val="right"/>
        <w:outlineLvl w:val="2"/>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2</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Основные параметры консолидированного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2 (базовый)</w:t>
      </w:r>
    </w:p>
    <w:p w:rsidR="00C34C74" w:rsidRPr="00C34C74" w:rsidRDefault="00C34C74">
      <w:pPr>
        <w:pStyle w:val="ConsPlusNormal"/>
        <w:rPr>
          <w:rFonts w:ascii="Times New Roman" w:hAnsi="Times New Roman" w:cs="Times New Roman"/>
        </w:rPr>
      </w:pP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57"/>
        <w:gridCol w:w="1090"/>
        <w:gridCol w:w="1090"/>
        <w:gridCol w:w="1090"/>
        <w:gridCol w:w="1090"/>
        <w:gridCol w:w="1090"/>
        <w:gridCol w:w="1090"/>
        <w:gridCol w:w="1090"/>
        <w:gridCol w:w="1090"/>
        <w:gridCol w:w="1090"/>
        <w:gridCol w:w="1091"/>
        <w:gridCol w:w="1090"/>
        <w:gridCol w:w="1090"/>
        <w:gridCol w:w="1090"/>
      </w:tblGrid>
      <w:tr w:rsidR="00C34C74" w:rsidRPr="00C34C74">
        <w:tc>
          <w:tcPr>
            <w:tcW w:w="226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239233156,4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306088004,6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339636080,6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358203372,8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357295861,2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378915189,2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394889462,8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420709383,8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447544030,1</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484722217,8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515379766,0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548127658,6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581964489,5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198310878,2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266041252,3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290726995,2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301461322,0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325164696,8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345378486,9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364512696,1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389585657,8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415641861,7</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452008795,7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481820894,4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513687698,9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546606299,1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прибыль организации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74342353,5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124470473,2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114578631,4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103289612,4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111405437,0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117774073,8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124956906,4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134565765,2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144075401,4</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162855378,5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173853066,6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185589805,1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197539612,8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доходы физических лиц</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62828935,9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74883308,2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98204353,0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112773828,7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124991987,9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135866290,7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146192129,5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156717962,8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168001656,1</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180097775,3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193064815,1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206965481,8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221453065,5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Налог на имущество организаций</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25857770,8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29360298,6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32308456,5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31881527,1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33071028,5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33126359,2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33224526,6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36139827,4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39302640,3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42613278,1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46197143,9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50076439,9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54117522,5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Акцизы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13769172,5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14926912,2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16008036,1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19291834,8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20805101,6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21435058,0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21480836,0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22340069,4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23233672,2</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24163019,1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25129539,8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26134721,4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27180110,2</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Неналоговые доходы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14382587,8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16359758,5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28941995,9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32780177,5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12193526,6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12395123,0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12439181,4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12974066,2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13531951,0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14113824,9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14720719,4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15353710,3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16013919,9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3. Безвозмездные поступления</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26539690,4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23686993,8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19967089,5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23961873,3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19937637,8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21141579,3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17937585,3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18149659,8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18370217,3</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18599597,2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18838152,2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19086249,4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19344270,5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В том числе: из федерального бюджета</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21946472,9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17005274,4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15747587,2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21433783,5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18348092,8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19534783,4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17361060,0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17550073,5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17746647,6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17951084,6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18163699,1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18384818,2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18614782,0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Дотации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832119,6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205280,2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209771,9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225778,9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Субсидии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9031523,8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9051510,7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10622490,1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14722222,6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12523343,2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13434363,0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10870645,1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Субвенции</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4429951,9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3137970,6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3263188,2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3969803,4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4089461,5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4338082,3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4725338,0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4914351,5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5110925,6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5315362,6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5527977,1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5749096,2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5979060,0</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Иные межбюджетные трансферты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7652877,6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4610512,9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1652137,0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2515978,6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1735288,1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1762338,1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1765076,9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240768425,6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265047997,4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318381712,7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378031326,3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394821518,6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394703212,8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404512959,2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423570631,7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452671424,7</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490125895,8</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520469050,3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551070317,5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585495796,1</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-1535269,2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41040007,2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21254367,9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-19827953,5</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-37525657,4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-15788023,6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-9623496,4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-2861247,9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-5127394,6</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-5403678,0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-5089284,3</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-2942658,9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-3531306,6</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474" w:type="dxa"/>
          </w:tcPr>
          <w:p w:rsidR="00C34C74" w:rsidRPr="00C34C74" w:rsidRDefault="00C34C74">
            <w:pPr>
              <w:pStyle w:val="ConsPlusNormal"/>
              <w:rPr>
                <w:rFonts w:ascii="Times New Roman" w:hAnsi="Times New Roman" w:cs="Times New Roman"/>
                <w:sz w:val="18"/>
                <w:szCs w:val="18"/>
              </w:rPr>
            </w:pPr>
          </w:p>
        </w:tc>
        <w:tc>
          <w:tcPr>
            <w:tcW w:w="1474" w:type="dxa"/>
          </w:tcPr>
          <w:p w:rsidR="00C34C74" w:rsidRPr="00C34C74" w:rsidRDefault="00C34C74">
            <w:pPr>
              <w:pStyle w:val="ConsPlusNormal"/>
              <w:rPr>
                <w:rFonts w:ascii="Times New Roman" w:hAnsi="Times New Roman" w:cs="Times New Roman"/>
                <w:sz w:val="18"/>
                <w:szCs w:val="18"/>
              </w:rPr>
            </w:pP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11,1</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w:t>
            </w:r>
          </w:p>
        </w:tc>
        <w:tc>
          <w:tcPr>
            <w:tcW w:w="1495"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c>
          <w:tcPr>
            <w:tcW w:w="1474"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r>
    </w:tbl>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1"/>
        <w:rPr>
          <w:rFonts w:ascii="Times New Roman" w:hAnsi="Times New Roman" w:cs="Times New Roman"/>
        </w:rPr>
      </w:pPr>
      <w:bookmarkStart w:id="5" w:name="P1505"/>
      <w:bookmarkEnd w:id="5"/>
      <w:r w:rsidRPr="00C34C74">
        <w:rPr>
          <w:rFonts w:ascii="Times New Roman" w:hAnsi="Times New Roman" w:cs="Times New Roman"/>
        </w:rPr>
        <w:t>Приложение 3</w:t>
      </w: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к Бюджетному прогнозу</w:t>
      </w: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1</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Прогноз основных характеристик областного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1 (консервативный)</w:t>
      </w:r>
    </w:p>
    <w:p w:rsidR="00C34C74" w:rsidRPr="00C34C74" w:rsidRDefault="00C34C74">
      <w:pPr>
        <w:pStyle w:val="ConsPlusNormal"/>
        <w:rPr>
          <w:rFonts w:ascii="Times New Roman" w:hAnsi="Times New Roman" w:cs="Times New Roman"/>
        </w:rPr>
      </w:pP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18"/>
        <w:gridCol w:w="1034"/>
        <w:gridCol w:w="1055"/>
        <w:gridCol w:w="1054"/>
        <w:gridCol w:w="1055"/>
        <w:gridCol w:w="1054"/>
        <w:gridCol w:w="1035"/>
        <w:gridCol w:w="1035"/>
        <w:gridCol w:w="1035"/>
        <w:gridCol w:w="1035"/>
        <w:gridCol w:w="1054"/>
        <w:gridCol w:w="1055"/>
        <w:gridCol w:w="1054"/>
        <w:gridCol w:w="1055"/>
      </w:tblGrid>
      <w:tr w:rsidR="00C34C74" w:rsidRPr="00C34C74">
        <w:tc>
          <w:tcPr>
            <w:tcW w:w="226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 всего</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252,5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271,2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293,2</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303,6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315,1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339,6</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365,9</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379,9</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12,2</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11,2</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11,0</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10,3</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196,8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215,3</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300,7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306,5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305,1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310,1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317,9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329,9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367,7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381,7</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13,0</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11,0</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10,4</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37,2</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0,3</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0,82</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0,46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0,24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0,10</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Государственный долг</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11,3</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33,4</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0,4</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0,9</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w:t>
            </w:r>
          </w:p>
        </w:tc>
      </w:tr>
    </w:tbl>
    <w:p w:rsidR="00C6738A" w:rsidRDefault="00C6738A">
      <w:pPr>
        <w:pStyle w:val="ConsPlusNormal"/>
        <w:jc w:val="right"/>
        <w:outlineLvl w:val="2"/>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2</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Прогноз основных характеристик областного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2 (базовый)</w:t>
      </w:r>
    </w:p>
    <w:p w:rsidR="00C34C74" w:rsidRPr="00C34C74" w:rsidRDefault="00C34C74">
      <w:pPr>
        <w:pStyle w:val="ConsPlusNormal"/>
        <w:rPr>
          <w:rFonts w:ascii="Times New Roman" w:hAnsi="Times New Roman" w:cs="Times New Roman"/>
        </w:rPr>
      </w:pP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18"/>
        <w:gridCol w:w="1034"/>
        <w:gridCol w:w="1055"/>
        <w:gridCol w:w="1054"/>
        <w:gridCol w:w="1055"/>
        <w:gridCol w:w="1054"/>
        <w:gridCol w:w="1035"/>
        <w:gridCol w:w="1035"/>
        <w:gridCol w:w="1035"/>
        <w:gridCol w:w="1035"/>
        <w:gridCol w:w="1054"/>
        <w:gridCol w:w="1055"/>
        <w:gridCol w:w="1054"/>
        <w:gridCol w:w="1055"/>
      </w:tblGrid>
      <w:tr w:rsidR="00C34C74" w:rsidRPr="00C34C74">
        <w:tc>
          <w:tcPr>
            <w:tcW w:w="226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2022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Доходы, всего</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192,2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252,5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271,2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281,8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296,9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307,4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328,2</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349,7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381,2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405,9</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432,2</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459,4</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12,2</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11,2</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196,8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215,3</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300,7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309,5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308,8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331,0</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383,7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433,9</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461,2</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13,0</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Дефицит/профицит</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37,2</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0,3</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0,4</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0,2</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0,1</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0,1</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0,1</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0,04</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0,04</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Государственный долг</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11,3</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29,0</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31,6</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33,4</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w:t>
            </w:r>
          </w:p>
        </w:tc>
      </w:tr>
      <w:tr w:rsidR="00C34C74" w:rsidRPr="00C34C74">
        <w:tc>
          <w:tcPr>
            <w:tcW w:w="2268"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в % к ВРП</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0,4</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0,6</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0,5</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0,7</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7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9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c>
          <w:tcPr>
            <w:tcW w:w="1098"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0,8</w:t>
            </w:r>
          </w:p>
        </w:tc>
      </w:tr>
    </w:tbl>
    <w:p w:rsidR="00C34C74" w:rsidRPr="00C34C74" w:rsidRDefault="00C34C74">
      <w:pPr>
        <w:pStyle w:val="ConsPlusNormal"/>
        <w:rPr>
          <w:rFonts w:ascii="Times New Roman" w:hAnsi="Times New Roman" w:cs="Times New Roman"/>
        </w:rPr>
        <w:sectPr w:rsidR="00C34C74" w:rsidRPr="00C34C74" w:rsidSect="00C6738A">
          <w:pgSz w:w="16838" w:h="11905" w:orient="landscape"/>
          <w:pgMar w:top="1134" w:right="567" w:bottom="1134" w:left="567" w:header="0" w:footer="0" w:gutter="0"/>
          <w:cols w:space="720"/>
          <w:titlePg/>
        </w:sectPr>
      </w:pPr>
    </w:p>
    <w:p w:rsidR="00C34C74" w:rsidRPr="00C34C74" w:rsidRDefault="00C34C74">
      <w:pPr>
        <w:pStyle w:val="ConsPlusNormal"/>
        <w:jc w:val="right"/>
        <w:outlineLvl w:val="1"/>
        <w:rPr>
          <w:rFonts w:ascii="Times New Roman" w:hAnsi="Times New Roman" w:cs="Times New Roman"/>
        </w:rPr>
      </w:pPr>
      <w:bookmarkStart w:id="6" w:name="P1780"/>
      <w:bookmarkEnd w:id="6"/>
      <w:r w:rsidRPr="00C34C74">
        <w:rPr>
          <w:rFonts w:ascii="Times New Roman" w:hAnsi="Times New Roman" w:cs="Times New Roman"/>
        </w:rPr>
        <w:lastRenderedPageBreak/>
        <w:t>Приложение 4</w:t>
      </w: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к Бюджетному прогнозу</w:t>
      </w: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1</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Прогноз основных характеристик консолидированного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1 (консервативный)</w:t>
      </w:r>
    </w:p>
    <w:p w:rsidR="00C34C74" w:rsidRPr="00C34C74" w:rsidRDefault="00C34C74">
      <w:pPr>
        <w:pStyle w:val="ConsPlusNormal"/>
        <w:rPr>
          <w:rFonts w:ascii="Times New Roman" w:hAnsi="Times New Roman" w:cs="Times New Roman"/>
        </w:rPr>
      </w:pP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41"/>
        <w:gridCol w:w="1037"/>
        <w:gridCol w:w="1056"/>
        <w:gridCol w:w="1054"/>
        <w:gridCol w:w="1055"/>
        <w:gridCol w:w="1054"/>
        <w:gridCol w:w="1036"/>
        <w:gridCol w:w="1036"/>
        <w:gridCol w:w="1036"/>
        <w:gridCol w:w="1036"/>
        <w:gridCol w:w="1054"/>
        <w:gridCol w:w="1055"/>
        <w:gridCol w:w="1054"/>
        <w:gridCol w:w="1055"/>
      </w:tblGrid>
      <w:tr w:rsidR="00C34C74" w:rsidRPr="00C34C74">
        <w:tc>
          <w:tcPr>
            <w:tcW w:w="226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Показатель</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2022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2023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2024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2025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2026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2027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2028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2029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2030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2031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2032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2033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2034 год</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Доходы, всего</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239,2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306,1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339,6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358,2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343,8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364,6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379,8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404,6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430,4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466,1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495,5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527,0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559,5</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14,5</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17,1</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17,3</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17,8</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18,2</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Расходы</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240,8</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265,0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318,4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378,0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381,3</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380,4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389,4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407,4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435,3</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471,6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501,1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530,9</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562,9</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19,4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18,3</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18,3</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Дефицит/профицит</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41,0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21,3</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-19,8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-9,6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-4,9</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-5,5</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-5,6</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-3,9</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-3,4</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2,3</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Государственный и муниципальный долг</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6,9</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9,6</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11,4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18,1</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27,8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30,9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32,9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38,2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40,8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42,0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43,6</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r>
    </w:tbl>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2"/>
        <w:rPr>
          <w:rFonts w:ascii="Times New Roman" w:hAnsi="Times New Roman" w:cs="Times New Roman"/>
        </w:rPr>
      </w:pPr>
      <w:r w:rsidRPr="00C34C74">
        <w:rPr>
          <w:rFonts w:ascii="Times New Roman" w:hAnsi="Times New Roman" w:cs="Times New Roman"/>
        </w:rPr>
        <w:t>Таблица 2</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Прогноз основных характеристик консолидированного бюджета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Ленинградской области 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2 (базовый)</w:t>
      </w: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млрд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41"/>
        <w:gridCol w:w="1037"/>
        <w:gridCol w:w="1056"/>
        <w:gridCol w:w="1054"/>
        <w:gridCol w:w="1055"/>
        <w:gridCol w:w="1054"/>
        <w:gridCol w:w="1036"/>
        <w:gridCol w:w="1036"/>
        <w:gridCol w:w="1036"/>
        <w:gridCol w:w="1036"/>
        <w:gridCol w:w="1054"/>
        <w:gridCol w:w="1055"/>
        <w:gridCol w:w="1054"/>
        <w:gridCol w:w="1055"/>
      </w:tblGrid>
      <w:tr w:rsidR="00C34C74" w:rsidRPr="00C34C74">
        <w:tc>
          <w:tcPr>
            <w:tcW w:w="226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Показатель</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2022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2023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2024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2025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2026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2027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2028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2029 год</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2030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2031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2032 год</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2033 год</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2034 год</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Доходы, всего</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239,2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306,1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339,6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358,2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357,3</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378,9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394,9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420,7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447,6</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484,7</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515,4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548,1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582,0</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lastRenderedPageBreak/>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14,5</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16,9</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17,0</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Расходы</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240,8</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265,0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318,4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378,0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394,8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394,7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404,5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423,6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452,7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490,1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520,5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551,1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585,5</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17,3</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17,1</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Дефицит/профицит</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41,0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21,3</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-19,8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-37,5</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-15,8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-9,6</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-5,1</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2,3</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1,0</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0,7</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0,4</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0,2</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0,1</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Государственный и муниципальный долг</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6,9</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9,6</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11,4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18,1</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27,9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30,9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32,9</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35,7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38,2</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40,8</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42,0</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43,6</w:t>
            </w:r>
          </w:p>
        </w:tc>
      </w:tr>
      <w:tr w:rsidR="00C34C74" w:rsidRPr="00C34C74">
        <w:tc>
          <w:tcPr>
            <w:tcW w:w="2268" w:type="dxa"/>
          </w:tcPr>
          <w:p w:rsidR="00C34C74" w:rsidRPr="00C34C74" w:rsidRDefault="00C34C74">
            <w:pPr>
              <w:pStyle w:val="ConsPlusNormal"/>
              <w:rPr>
                <w:rFonts w:ascii="Times New Roman" w:hAnsi="Times New Roman" w:cs="Times New Roman"/>
              </w:rPr>
            </w:pPr>
            <w:r w:rsidRPr="00C34C74">
              <w:rPr>
                <w:rFonts w:ascii="Times New Roman" w:hAnsi="Times New Roman" w:cs="Times New Roman"/>
              </w:rPr>
              <w:t>в % к ВРП</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0,5</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0,6</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0,7</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0,8</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1,2</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c>
          <w:tcPr>
            <w:tcW w:w="107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1,4</w:t>
            </w:r>
          </w:p>
        </w:tc>
        <w:tc>
          <w:tcPr>
            <w:tcW w:w="1097"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c>
          <w:tcPr>
            <w:tcW w:w="1098" w:type="dxa"/>
          </w:tcPr>
          <w:p w:rsidR="00C34C74" w:rsidRPr="00C34C74" w:rsidRDefault="00C34C74">
            <w:pPr>
              <w:pStyle w:val="ConsPlusNormal"/>
              <w:jc w:val="center"/>
              <w:rPr>
                <w:rFonts w:ascii="Times New Roman" w:hAnsi="Times New Roman" w:cs="Times New Roman"/>
              </w:rPr>
            </w:pPr>
            <w:r w:rsidRPr="00C34C74">
              <w:rPr>
                <w:rFonts w:ascii="Times New Roman" w:hAnsi="Times New Roman" w:cs="Times New Roman"/>
              </w:rPr>
              <w:t>1,3</w:t>
            </w:r>
          </w:p>
        </w:tc>
      </w:tr>
    </w:tbl>
    <w:p w:rsidR="00C34C74" w:rsidRPr="00C34C74" w:rsidRDefault="00C34C74">
      <w:pPr>
        <w:pStyle w:val="ConsPlusNormal"/>
        <w:rPr>
          <w:rFonts w:ascii="Times New Roman" w:hAnsi="Times New Roman" w:cs="Times New Roman"/>
        </w:rPr>
      </w:pPr>
    </w:p>
    <w:p w:rsidR="00C34C74" w:rsidRPr="00C34C74" w:rsidRDefault="00C34C74">
      <w:pPr>
        <w:pStyle w:val="ConsPlusNormal"/>
        <w:rPr>
          <w:rFonts w:ascii="Times New Roman" w:hAnsi="Times New Roman" w:cs="Times New Roman"/>
        </w:rPr>
      </w:pPr>
    </w:p>
    <w:p w:rsidR="00C34C74" w:rsidRPr="00C34C74" w:rsidRDefault="00C34C74">
      <w:pPr>
        <w:pStyle w:val="ConsPlusNormal"/>
        <w:jc w:val="right"/>
        <w:outlineLvl w:val="1"/>
        <w:rPr>
          <w:rFonts w:ascii="Times New Roman" w:hAnsi="Times New Roman" w:cs="Times New Roman"/>
        </w:rPr>
      </w:pPr>
      <w:r w:rsidRPr="00C34C74">
        <w:rPr>
          <w:rFonts w:ascii="Times New Roman" w:hAnsi="Times New Roman" w:cs="Times New Roman"/>
        </w:rPr>
        <w:t>Приложение 5</w:t>
      </w:r>
    </w:p>
    <w:p w:rsidR="00C34C74" w:rsidRPr="00C34C74" w:rsidRDefault="00C34C74">
      <w:pPr>
        <w:pStyle w:val="ConsPlusNormal"/>
        <w:jc w:val="right"/>
        <w:rPr>
          <w:rFonts w:ascii="Times New Roman" w:hAnsi="Times New Roman" w:cs="Times New Roman"/>
        </w:rPr>
      </w:pPr>
      <w:r w:rsidRPr="00C34C74">
        <w:rPr>
          <w:rFonts w:ascii="Times New Roman" w:hAnsi="Times New Roman" w:cs="Times New Roman"/>
        </w:rPr>
        <w:t>к Бюджетному прогнозу</w:t>
      </w:r>
    </w:p>
    <w:p w:rsidR="00C34C74" w:rsidRPr="00C34C74" w:rsidRDefault="00C34C74">
      <w:pPr>
        <w:pStyle w:val="ConsPlusNormal"/>
        <w:rPr>
          <w:rFonts w:ascii="Times New Roman" w:hAnsi="Times New Roman" w:cs="Times New Roman"/>
        </w:rPr>
      </w:pPr>
    </w:p>
    <w:p w:rsidR="00C34C74" w:rsidRPr="00C34C74" w:rsidRDefault="00C34C74">
      <w:pPr>
        <w:pStyle w:val="ConsPlusTitle"/>
        <w:jc w:val="center"/>
        <w:rPr>
          <w:rFonts w:ascii="Times New Roman" w:hAnsi="Times New Roman" w:cs="Times New Roman"/>
        </w:rPr>
      </w:pPr>
      <w:bookmarkStart w:id="7" w:name="P2058"/>
      <w:bookmarkEnd w:id="7"/>
      <w:r w:rsidRPr="00C34C74">
        <w:rPr>
          <w:rFonts w:ascii="Times New Roman" w:hAnsi="Times New Roman" w:cs="Times New Roman"/>
        </w:rPr>
        <w:t>ПОКАЗАТЕЛИ</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ФИНАНСОВОГО ОБЕСПЕЧЕНИЯ НАЦИОНАЛЬНЫХ ПРОЕКТОВ</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И ГОСУДАРСТВЕННЫХ ПРОГРАММ ЛЕНИНГРАДСКОЙ ОБЛАСТИ</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НА ПЕРИОД ДО 2034 ГОДА</w:t>
      </w:r>
    </w:p>
    <w:p w:rsidR="00C34C74" w:rsidRPr="00C34C74" w:rsidRDefault="00C34C74">
      <w:pPr>
        <w:pStyle w:val="ConsPlusTitle"/>
        <w:jc w:val="center"/>
        <w:rPr>
          <w:rFonts w:ascii="Times New Roman" w:hAnsi="Times New Roman" w:cs="Times New Roman"/>
        </w:rPr>
      </w:pPr>
      <w:r w:rsidRPr="00C34C74">
        <w:rPr>
          <w:rFonts w:ascii="Times New Roman" w:hAnsi="Times New Roman" w:cs="Times New Roman"/>
        </w:rPr>
        <w:t>ВАРИАНТ 2 (БАЗОВЫЙ)</w:t>
      </w:r>
    </w:p>
    <w:p w:rsidR="00C34C74" w:rsidRPr="00C34C74" w:rsidRDefault="00C34C74" w:rsidP="00C6738A">
      <w:pPr>
        <w:pStyle w:val="ConsPlusNormal"/>
        <w:jc w:val="right"/>
        <w:rPr>
          <w:rFonts w:ascii="Times New Roman" w:hAnsi="Times New Roman" w:cs="Times New Roman"/>
        </w:rPr>
      </w:pPr>
      <w:r w:rsidRPr="00C34C74">
        <w:rPr>
          <w:rFonts w:ascii="Times New Roman" w:hAnsi="Times New Roman" w:cs="Times New Roman"/>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64"/>
        <w:gridCol w:w="1141"/>
        <w:gridCol w:w="1141"/>
        <w:gridCol w:w="1142"/>
        <w:gridCol w:w="1142"/>
        <w:gridCol w:w="1142"/>
        <w:gridCol w:w="1141"/>
        <w:gridCol w:w="1141"/>
        <w:gridCol w:w="1141"/>
        <w:gridCol w:w="1141"/>
        <w:gridCol w:w="1141"/>
        <w:gridCol w:w="1141"/>
        <w:gridCol w:w="1141"/>
      </w:tblGrid>
      <w:tr w:rsidR="00C34C74" w:rsidRPr="00C34C74" w:rsidTr="00C6738A">
        <w:tc>
          <w:tcPr>
            <w:tcW w:w="2189"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Показатель</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2023 год</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2024 год</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2025 год</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2026 год</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2027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2029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2030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2031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2032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2033 год</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2034 год</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Расходы всего</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215318586,4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256091302,3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300730376,4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309531880,4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308771080,2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313851110,5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330993615,3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352487939,0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383758101,8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408493127,7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433940648,6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461159528,0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 к предыдущему году</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118,9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117,4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102,9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99,8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106,3</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 Программные расходы, всего</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199404462,6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241618368,9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282835789,8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283103554,1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266230852,1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250044680,0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172174292,0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171576141,3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удельный вес (%)</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91,5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86,2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79,7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 расходы на национальные проекты, всего</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29243046,3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28507273,8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35688187,9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29421134,6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удельный вес в общем объеме расходов (%)</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 Развитие здравоохранения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30345608,9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34804315,6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41065992,0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39982044,6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38260049,9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36921045,6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31950818,9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31950818,9</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rPr>
          <w:trHeight w:val="126"/>
        </w:trPr>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"Модернизация первичного звена здравоохранения Российской Федерации"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2071897,6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478586,2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610613,7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980129,1</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"Борьба с сердечно-сосудистыми заболеваниями"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162085,6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138459,8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140536,2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142023,7</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"Борьба с сахарным диабетом"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125121,9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66397,5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9090,4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8434,7</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"Борьба с гепатитом C и минимизация рисков распространения данного заболевания"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56870,0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70223,4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71768,6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73007,5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 xml:space="preserve">Региональный проект "Совершенствование экстренной медицинской </w:t>
            </w:r>
            <w:r w:rsidRPr="00C34C74">
              <w:rPr>
                <w:rFonts w:ascii="Times New Roman" w:hAnsi="Times New Roman" w:cs="Times New Roman"/>
                <w:sz w:val="18"/>
                <w:szCs w:val="18"/>
              </w:rPr>
              <w:lastRenderedPageBreak/>
              <w:t>помощи"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190430,2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199520,4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209496,4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210650,8</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"Оптимальная для восстановления здоровья медицинская реабилитация"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54154,7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4089,5</w:t>
            </w: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"Здоровье для каждого" национального проекта "Продолжительная и активная жизнь"</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3578,0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5494,8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4588,6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"Охрана материнства и детства" национального проекта "Семья"</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61335,4</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719699,0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123173,7</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1.2. Современное образование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45763917,1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58542919,4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66345958,6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67666724,9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65585437,1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63243197,6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46877375,9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46877375,9</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"Цифровые платформы в отраслях социальной сферы" национального проекта "Экономика данных и цифровая трансформация государства"</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156319,1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84177,1</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"Россия - страна возможностей"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74782,5</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Региональный проект "Мы вместе (Воспитание гармонично развитой личности)"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7812,6</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"Все лучшее детям"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741857,6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486971,8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443432,7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550307,7</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"Педагоги и наставники"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1570209,6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1659491,9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1714965,5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1722203,6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w:t>
            </w:r>
            <w:proofErr w:type="spellStart"/>
            <w:r w:rsidRPr="00C34C74">
              <w:rPr>
                <w:rFonts w:ascii="Times New Roman" w:hAnsi="Times New Roman" w:cs="Times New Roman"/>
                <w:sz w:val="18"/>
                <w:szCs w:val="18"/>
              </w:rPr>
              <w:t>Профессионалитет</w:t>
            </w:r>
            <w:proofErr w:type="spellEnd"/>
            <w:r w:rsidRPr="00C34C74">
              <w:rPr>
                <w:rFonts w:ascii="Times New Roman" w:hAnsi="Times New Roman" w:cs="Times New Roman"/>
                <w:sz w:val="18"/>
                <w:szCs w:val="18"/>
              </w:rPr>
              <w:t>"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116896,9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109194,1</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1.3. Социальная поддержка отдельных категории граждан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33427703,1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43625159,6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54918816,2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55738469,0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52857665,5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53700967,3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31012744,0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31012744,0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"Поддержка семьи" национального проекта "Семья"</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7511812,6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7917143,1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7855844,9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8532510,2</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"Многодетная семья" национального проекта "Семья"</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767847,3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797490,2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799470,4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860128,5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"Старшее поколение" национального проекта "Семья"</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361435,7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484537,2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527228,6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783548,0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 xml:space="preserve">1.4. Развитие физической </w:t>
            </w:r>
            <w:r w:rsidRPr="00C34C74">
              <w:rPr>
                <w:rFonts w:ascii="Times New Roman" w:hAnsi="Times New Roman" w:cs="Times New Roman"/>
                <w:sz w:val="18"/>
                <w:szCs w:val="18"/>
              </w:rPr>
              <w:lastRenderedPageBreak/>
              <w:t>культуры и спорта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lastRenderedPageBreak/>
              <w:t>1942221,8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2881662,3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3500795,4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3690919,6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2115560,9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2479150,9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2075771,8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2074871,8</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1.5. Развитие культуры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4593258,1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5008336,1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6310732,1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8651504,5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7244945,6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7315230,4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4498945,9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4498945,9</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"Семейные ценности и инфраструктура культуры" национального проекта "Семья"</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175279,5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294101,5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199707,9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137801,4</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1.6. Формирование городской среды и обеспечение качественным жильем граждан на территории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17203326,6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20191052,9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10883860,1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9523233,4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11511313,3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6421317,0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2636853,7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2704982,2</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"Жилье"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1963943,0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1857742,8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6052870,7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1300000,0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"Формирование комфортной городской среды"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1489305,7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1944321,0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1193134,5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1169081,6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 xml:space="preserve">1.7. Обеспечение устойчивого функционирования и развития коммунальной и инженерной инфраструктуры и повышение </w:t>
            </w:r>
            <w:proofErr w:type="spellStart"/>
            <w:r w:rsidRPr="00C34C74">
              <w:rPr>
                <w:rFonts w:ascii="Times New Roman" w:hAnsi="Times New Roman" w:cs="Times New Roman"/>
                <w:sz w:val="18"/>
                <w:szCs w:val="18"/>
              </w:rPr>
              <w:t>энергоэффективности</w:t>
            </w:r>
            <w:proofErr w:type="spellEnd"/>
            <w:r w:rsidRPr="00C34C74">
              <w:rPr>
                <w:rFonts w:ascii="Times New Roman" w:hAnsi="Times New Roman" w:cs="Times New Roman"/>
                <w:sz w:val="18"/>
                <w:szCs w:val="18"/>
              </w:rPr>
              <w:t xml:space="preserve">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14987530,5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16445625,3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21094100,1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16961373,1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17708054,7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14481536,9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10178260,5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10178260,5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"Модернизация коммунальной инфраструктуры"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425621,5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723049,2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1199482,2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1168526,1</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1.8. Безопасность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3517008,4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4615006,0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5783312,2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6420583,2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5715115,1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5715115,1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3277756,4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3277756,4</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1.9. Охрана окружающей среды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2573735,7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2932653,0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3269793,5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3872116,4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3422627,6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3552187,5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2028651,5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2028651,5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"Стимулирование спроса на отечественные беспилотные авиационные системы" национального проекта "Беспилотные авиационные системы"</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38997,0</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"Экономика замкнутого цикла" национального проекта "Экологическое благополучие"</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309941,0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104859,0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"Вода России" национального проекта "Экологическое благополучие"</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165300,0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185035,0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"Сохранение лесов" национального проекта "Экологическое благополучие"</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907,7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14834,7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12284,6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25545,6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1.10. Цифровое развитие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3579123,0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4760795,2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7182310,3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6528880,8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5692725,2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5689508,3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5100727,9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5100727,9</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1.11. Стимулирование экономической активности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2784036,1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2660303,5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3217283,0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3190561,9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2560642,1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2539511,0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1472589,0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1506140,2</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"Промышленный экспорт" национального проекта "Международная кооперация и экспорт"</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18300,0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18300,0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18300,0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20000,0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19462,0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15044,8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15609,5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16228,2</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"Производительность труда" национального проекта "Эффективная и конкурентная экономика"</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47586,7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72499,9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57827,6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46712,0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1.12. Развитие транспортной системы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20530608,2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25257444,7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35678477,3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36983132,6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31983002,9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27515077,4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12194979,5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10526059,6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"Безопасность дорожного движения"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475734,5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250000,0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250000,0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250000,0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Региональный проект "Региональная и местная дорожная сеть"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9922797,0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9684115,9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12153760,2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10731025,9</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"Общесистемные меры развития дорожного хозяйства" национального проекта "Инфраструктура для жизни"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278186,1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278186,1</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278186,1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278186,1</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1.13. Развитие сельского хозяйства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6231641,0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6650191,6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7108030,7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6935592,3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7310292,2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7512177,4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3902505,5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3933513,3</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"Создание условий для развития научных разработок в селекции и генетике" национального проекта "Технологическое обеспечение продовольственной безопасности"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25580,9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52200,8</w:t>
            </w: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1.14. Управление государственными финансами и государственным долгом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7135192,6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7751030,6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9697061,7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9936950,8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9428435,6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9501223,1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12534205,6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13470315,7</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1.15. Устойчивое общественное развитие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2232086,8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2665961,8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2903222,6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3669364,2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2300141,8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1686038,7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1263541,1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1266412,8</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 xml:space="preserve">Региональный проект "Россия - страна </w:t>
            </w:r>
            <w:r w:rsidRPr="00C34C74">
              <w:rPr>
                <w:rFonts w:ascii="Times New Roman" w:hAnsi="Times New Roman" w:cs="Times New Roman"/>
                <w:sz w:val="18"/>
                <w:szCs w:val="18"/>
              </w:rPr>
              <w:lastRenderedPageBreak/>
              <w:t>возможностей"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79657,1</w:t>
            </w: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"Мы вместе (Воспитание гармонично развитой личности)" национального проекта "Молодежь и дети"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8063,8</w:t>
            </w: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1.16. Содействие занятости населения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871799,5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871024,0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1222594,9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1060717,9</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1010254,7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1001015,8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570937,0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570937,0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"Управление рынком труда" национального проекта "Кадры"</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107530,9</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"Образование для рынка труда" национального проекта "Кадры"</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9294,5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9294,4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9175,4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9175,3</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"Активные меры содействия занятости" национального проекта "Кадры"</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10575,0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22500,0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6074,9</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4500,0</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"Человек труда" национального проекта "Кадры"</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10769,2</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2623,0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2857,1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3137,3</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1.17. Развитие внутреннего и въездного туризма в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593754,4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484415,3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934532,4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697571,4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824809,2</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242875,7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158135,3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158135,3</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lastRenderedPageBreak/>
              <w:t>Региональный проект "Создание номерного фонда, инфраструктуры и новых точек притяжения" национального проекта "Туризм и гостеприимство"</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446813,8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416877,7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581933,6</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1.18. Комплексное развитие сельских территорий Ленинградской области</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1091910,8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1470472,0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1718916,7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1593813,5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699778,7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527504,3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439492,5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439492,5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из них</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Региональный проект "Кадры в агропромышленном комплексе" национального проекта "Технологическое обеспечение продовольственной безопасности"</w:t>
            </w: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rPr>
                <w:rFonts w:ascii="Times New Roman" w:hAnsi="Times New Roman" w:cs="Times New Roman"/>
                <w:sz w:val="18"/>
                <w:szCs w:val="18"/>
              </w:rPr>
            </w:pP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15130,0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28617,4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14576,4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5885,5</w:t>
            </w: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c>
          <w:tcPr>
            <w:tcW w:w="1146" w:type="dxa"/>
          </w:tcPr>
          <w:p w:rsidR="00C34C74" w:rsidRPr="00C34C74" w:rsidRDefault="00C34C74">
            <w:pPr>
              <w:pStyle w:val="ConsPlusNormal"/>
              <w:rPr>
                <w:rFonts w:ascii="Times New Roman" w:hAnsi="Times New Roman" w:cs="Times New Roman"/>
                <w:sz w:val="18"/>
                <w:szCs w:val="18"/>
              </w:rPr>
            </w:pP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2. Непрограммные расходы, всего &lt;*&gt;</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15914123,8</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14472933,4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17894586,6</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26428326,3</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42540228,1</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63806430,5</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158819323,4</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180911797,7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383758101,8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408493127,7</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433940648,6</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461159528,0</w:t>
            </w:r>
          </w:p>
        </w:tc>
      </w:tr>
      <w:tr w:rsidR="00C34C74" w:rsidRPr="00C34C74" w:rsidTr="00C6738A">
        <w:tc>
          <w:tcPr>
            <w:tcW w:w="2189" w:type="dxa"/>
          </w:tcPr>
          <w:p w:rsidR="00C34C74" w:rsidRPr="00C34C74" w:rsidRDefault="00C34C74">
            <w:pPr>
              <w:pStyle w:val="ConsPlusNormal"/>
              <w:rPr>
                <w:rFonts w:ascii="Times New Roman" w:hAnsi="Times New Roman" w:cs="Times New Roman"/>
                <w:sz w:val="18"/>
                <w:szCs w:val="18"/>
              </w:rPr>
            </w:pPr>
            <w:r w:rsidRPr="00C34C74">
              <w:rPr>
                <w:rFonts w:ascii="Times New Roman" w:hAnsi="Times New Roman" w:cs="Times New Roman"/>
                <w:sz w:val="18"/>
                <w:szCs w:val="18"/>
              </w:rPr>
              <w:t>Удельный вес (%)</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7,4</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5,7</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6,0</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8,5</w:t>
            </w:r>
          </w:p>
        </w:tc>
        <w:tc>
          <w:tcPr>
            <w:tcW w:w="1147"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13,8</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20,3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48,0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51,3</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100,0</w:t>
            </w:r>
          </w:p>
        </w:tc>
        <w:tc>
          <w:tcPr>
            <w:tcW w:w="1146" w:type="dxa"/>
          </w:tcPr>
          <w:p w:rsidR="00C34C74" w:rsidRPr="00C34C74" w:rsidRDefault="00C34C74">
            <w:pPr>
              <w:pStyle w:val="ConsPlusNormal"/>
              <w:jc w:val="center"/>
              <w:rPr>
                <w:rFonts w:ascii="Times New Roman" w:hAnsi="Times New Roman" w:cs="Times New Roman"/>
                <w:sz w:val="18"/>
                <w:szCs w:val="18"/>
              </w:rPr>
            </w:pPr>
            <w:r w:rsidRPr="00C34C74">
              <w:rPr>
                <w:rFonts w:ascii="Times New Roman" w:hAnsi="Times New Roman" w:cs="Times New Roman"/>
                <w:sz w:val="18"/>
                <w:szCs w:val="18"/>
              </w:rPr>
              <w:t>100,0</w:t>
            </w:r>
          </w:p>
        </w:tc>
      </w:tr>
    </w:tbl>
    <w:p w:rsidR="00C34C74" w:rsidRDefault="00C34C74">
      <w:pPr>
        <w:pStyle w:val="ConsPlusNormal"/>
        <w:rPr>
          <w:rFonts w:ascii="Times New Roman" w:hAnsi="Times New Roman" w:cs="Times New Roman"/>
        </w:rPr>
      </w:pPr>
    </w:p>
    <w:p w:rsidR="00C6738A" w:rsidRDefault="00C34C74" w:rsidP="00C6738A">
      <w:pPr>
        <w:pStyle w:val="ConsPlusNormal"/>
        <w:ind w:firstLine="539"/>
        <w:jc w:val="both"/>
        <w:rPr>
          <w:rFonts w:ascii="Times New Roman" w:hAnsi="Times New Roman" w:cs="Times New Roman"/>
        </w:rPr>
      </w:pPr>
      <w:r w:rsidRPr="00C34C74">
        <w:rPr>
          <w:rFonts w:ascii="Times New Roman" w:hAnsi="Times New Roman" w:cs="Times New Roman"/>
        </w:rPr>
        <w:t>--------------------------------</w:t>
      </w:r>
    </w:p>
    <w:p w:rsidR="00C34C74" w:rsidRPr="00C34C74" w:rsidRDefault="00C34C74" w:rsidP="00C6738A">
      <w:pPr>
        <w:pStyle w:val="ConsPlusNormal"/>
        <w:ind w:firstLine="540"/>
        <w:jc w:val="both"/>
        <w:rPr>
          <w:rFonts w:ascii="Times New Roman" w:hAnsi="Times New Roman" w:cs="Times New Roman"/>
        </w:rPr>
      </w:pPr>
      <w:r w:rsidRPr="00C34C74">
        <w:rPr>
          <w:rFonts w:ascii="Times New Roman" w:hAnsi="Times New Roman" w:cs="Times New Roman"/>
        </w:rPr>
        <w:t>&lt;*&gt; В 2027 и 2028 годах в непрограммных расходах учтены условно утвержденные расходы.</w:t>
      </w:r>
    </w:p>
    <w:sectPr w:rsidR="00C34C74" w:rsidRPr="00C34C74" w:rsidSect="00C6738A">
      <w:pgSz w:w="16838" w:h="11905" w:orient="landscape"/>
      <w:pgMar w:top="1134" w:right="536" w:bottom="1134" w:left="567"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4"/>
    <w:rsid w:val="004A182B"/>
    <w:rsid w:val="00C34C74"/>
    <w:rsid w:val="00C6738A"/>
    <w:rsid w:val="00E5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9858A-011D-430E-83EF-745C3AD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34C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34C7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0326&amp;dst=100010" TargetMode="External"/><Relationship Id="rId13" Type="http://schemas.openxmlformats.org/officeDocument/2006/relationships/hyperlink" Target="https://login.consultant.ru/link/?req=doc&amp;base=LAW&amp;n=525528&amp;dst=2640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95710&amp;dst=3834" TargetMode="External"/><Relationship Id="rId12" Type="http://schemas.openxmlformats.org/officeDocument/2006/relationships/hyperlink" Target="https://login.consultant.ru/link/?req=doc&amp;base=SPB&amp;n=325018&amp;dst=10000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5991" TargetMode="External"/><Relationship Id="rId1" Type="http://schemas.openxmlformats.org/officeDocument/2006/relationships/styles" Target="styles.xml"/><Relationship Id="rId6" Type="http://schemas.openxmlformats.org/officeDocument/2006/relationships/hyperlink" Target="https://login.consultant.ru/link/?req=doc&amp;base=SPB&amp;n=325018&amp;dst=100005" TargetMode="External"/><Relationship Id="rId11" Type="http://schemas.openxmlformats.org/officeDocument/2006/relationships/hyperlink" Target="https://login.consultant.ru/link/?req=doc&amp;base=SPB&amp;n=253102" TargetMode="External"/><Relationship Id="rId5" Type="http://schemas.openxmlformats.org/officeDocument/2006/relationships/hyperlink" Target="https://login.consultant.ru/link/?req=doc&amp;base=SPB&amp;n=306369&amp;dst=100005" TargetMode="External"/><Relationship Id="rId15" Type="http://schemas.openxmlformats.org/officeDocument/2006/relationships/hyperlink" Target="https://login.consultant.ru/link/?req=doc&amp;base=LAW&amp;n=525528&amp;dst=197" TargetMode="External"/><Relationship Id="rId10" Type="http://schemas.openxmlformats.org/officeDocument/2006/relationships/hyperlink" Target="https://login.consultant.ru/link/?req=doc&amp;base=SPB&amp;n=222857" TargetMode="External"/><Relationship Id="rId4" Type="http://schemas.openxmlformats.org/officeDocument/2006/relationships/hyperlink" Target="https://login.consultant.ru/link/?req=doc&amp;base=SPB&amp;n=287223&amp;dst=100005" TargetMode="External"/><Relationship Id="rId9" Type="http://schemas.openxmlformats.org/officeDocument/2006/relationships/hyperlink" Target="https://login.consultant.ru/link/?req=doc&amp;base=SPB&amp;n=253473" TargetMode="External"/><Relationship Id="rId14" Type="http://schemas.openxmlformats.org/officeDocument/2006/relationships/hyperlink" Target="https://login.consultant.ru/link/?req=doc&amp;base=LAW&amp;n=525528&amp;dst=101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8650</Words>
  <Characters>49311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Старостина Рузанна Левоновна</dc:creator>
  <cp:lastModifiedBy>Костливцева Наталья Максимовна</cp:lastModifiedBy>
  <cp:revision>2</cp:revision>
  <dcterms:created xsi:type="dcterms:W3CDTF">2026-02-25T15:01:00Z</dcterms:created>
  <dcterms:modified xsi:type="dcterms:W3CDTF">2026-02-25T15:01:00Z</dcterms:modified>
</cp:coreProperties>
</file>