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0B" w:rsidRPr="005C1020" w:rsidRDefault="00505A4F" w:rsidP="0025240B">
      <w:pPr>
        <w:jc w:val="center"/>
      </w:pPr>
      <w:r w:rsidRPr="005C1020">
        <w:t xml:space="preserve">Итоги </w:t>
      </w:r>
    </w:p>
    <w:p w:rsidR="006A5ED7" w:rsidRPr="005C1020" w:rsidRDefault="00505A4F" w:rsidP="0025240B">
      <w:pPr>
        <w:jc w:val="center"/>
      </w:pPr>
      <w:r w:rsidRPr="005C1020">
        <w:t xml:space="preserve">проведения </w:t>
      </w:r>
      <w:r w:rsidR="00425D59" w:rsidRPr="005C1020">
        <w:t>комитетом</w:t>
      </w:r>
      <w:r w:rsidRPr="005C1020">
        <w:t xml:space="preserve"> финансов Ленинградской области </w:t>
      </w:r>
    </w:p>
    <w:p w:rsidR="006A5ED7" w:rsidRPr="005C1020" w:rsidRDefault="00505A4F" w:rsidP="0025240B">
      <w:pPr>
        <w:jc w:val="center"/>
      </w:pPr>
      <w:r w:rsidRPr="005C1020">
        <w:t xml:space="preserve">мониторинга эффективности  использования субсидий из областного бюджета Ленинградской области муниципальными образованиями Ленинградской области </w:t>
      </w:r>
    </w:p>
    <w:p w:rsidR="00BB3F32" w:rsidRPr="005C1020" w:rsidRDefault="00505A4F" w:rsidP="0025240B">
      <w:pPr>
        <w:jc w:val="center"/>
      </w:pPr>
      <w:r w:rsidRPr="005C1020">
        <w:t>за 201</w:t>
      </w:r>
      <w:r w:rsidR="00327F1C" w:rsidRPr="005C1020">
        <w:t>9</w:t>
      </w:r>
      <w:r w:rsidRPr="005C1020">
        <w:t xml:space="preserve"> год</w:t>
      </w:r>
    </w:p>
    <w:p w:rsidR="00505A4F" w:rsidRPr="005C1020" w:rsidRDefault="00505A4F"/>
    <w:p w:rsidR="00505A4F" w:rsidRPr="005C1020" w:rsidRDefault="00505A4F" w:rsidP="00E312D7">
      <w:pPr>
        <w:ind w:firstLine="567"/>
        <w:jc w:val="both"/>
      </w:pPr>
      <w:r w:rsidRPr="005C1020">
        <w:t xml:space="preserve">В соответствии с приказом комитета финансов Ленинградской области от 26.02.2018 № 18-02/01-20-19 "О порядке </w:t>
      </w:r>
      <w:proofErr w:type="gramStart"/>
      <w:r w:rsidRPr="005C1020">
        <w:t>проведения мониторинга эффективности использования субсидий</w:t>
      </w:r>
      <w:proofErr w:type="gramEnd"/>
      <w:r w:rsidRPr="005C1020">
        <w:t xml:space="preserve"> из областного бюджета Ленинградской области муниципальными образованиями Ленинградской области" </w:t>
      </w:r>
      <w:r w:rsidR="006A5ED7" w:rsidRPr="005C1020">
        <w:t>осуществлен</w:t>
      </w:r>
      <w:r w:rsidRPr="005C1020">
        <w:t xml:space="preserve"> мониторинг эффективности использования субсидий из областного бюджета Ленинградской области муниципальными образованиями Ленинградской области за 201</w:t>
      </w:r>
      <w:r w:rsidR="00327F1C" w:rsidRPr="005C1020">
        <w:t>9</w:t>
      </w:r>
      <w:r w:rsidRPr="005C1020">
        <w:t xml:space="preserve"> год</w:t>
      </w:r>
      <w:r w:rsidR="00FC75B7" w:rsidRPr="005C1020">
        <w:t xml:space="preserve"> (далее – Мониторинг</w:t>
      </w:r>
      <w:r w:rsidR="0036659F" w:rsidRPr="005C1020">
        <w:t>, субсидии</w:t>
      </w:r>
      <w:r w:rsidR="007D2B54" w:rsidRPr="005C1020">
        <w:t>, муниципальные образования</w:t>
      </w:r>
      <w:r w:rsidR="00FC75B7" w:rsidRPr="005C1020">
        <w:t>)</w:t>
      </w:r>
      <w:r w:rsidRPr="005C1020">
        <w:t>.</w:t>
      </w:r>
    </w:p>
    <w:p w:rsidR="00FC75B7" w:rsidRPr="005C1020" w:rsidRDefault="00FC75B7" w:rsidP="00E312D7">
      <w:pPr>
        <w:ind w:firstLine="567"/>
        <w:jc w:val="both"/>
      </w:pPr>
      <w:r w:rsidRPr="005C1020">
        <w:t>Мониторинг проведен на основе данных годового отчета об исполнении областного бюджета</w:t>
      </w:r>
      <w:r w:rsidR="006A5ED7" w:rsidRPr="005C1020">
        <w:t xml:space="preserve"> Ленинградской области</w:t>
      </w:r>
      <w:r w:rsidRPr="005C1020">
        <w:t xml:space="preserve"> </w:t>
      </w:r>
      <w:r w:rsidR="006A5ED7" w:rsidRPr="005C1020">
        <w:t xml:space="preserve">(далее – областной бюджет) </w:t>
      </w:r>
      <w:r w:rsidRPr="005C1020">
        <w:t>за 201</w:t>
      </w:r>
      <w:r w:rsidR="00327F1C" w:rsidRPr="005C1020">
        <w:t>9</w:t>
      </w:r>
      <w:r w:rsidRPr="005C1020">
        <w:t xml:space="preserve"> год и представленной </w:t>
      </w:r>
      <w:r w:rsidRPr="005C1020">
        <w:rPr>
          <w:rFonts w:eastAsia="Times New Roman" w:cs="Times New Roman"/>
          <w:szCs w:val="28"/>
          <w:lang w:eastAsia="ru-RU"/>
        </w:rPr>
        <w:t>главными распорядителями средств областного бюджета Ленинградской области (далее – ГРБС)</w:t>
      </w:r>
      <w:r w:rsidR="00695289" w:rsidRPr="005C1020">
        <w:rPr>
          <w:rFonts w:eastAsia="Times New Roman" w:cs="Times New Roman"/>
          <w:szCs w:val="28"/>
          <w:lang w:eastAsia="ru-RU"/>
        </w:rPr>
        <w:t xml:space="preserve"> </w:t>
      </w:r>
      <w:r w:rsidR="006A5ED7" w:rsidRPr="005C1020">
        <w:rPr>
          <w:rFonts w:eastAsia="Times New Roman" w:cs="Times New Roman"/>
          <w:szCs w:val="28"/>
          <w:lang w:eastAsia="ru-RU"/>
        </w:rPr>
        <w:t xml:space="preserve">информации </w:t>
      </w:r>
      <w:r w:rsidR="00695289" w:rsidRPr="005C1020">
        <w:rPr>
          <w:rFonts w:eastAsia="Times New Roman" w:cs="Times New Roman"/>
          <w:szCs w:val="28"/>
          <w:lang w:eastAsia="ru-RU"/>
        </w:rPr>
        <w:t>на базе программного комплекса Свод-СМАРТ</w:t>
      </w:r>
      <w:r w:rsidRPr="005C1020">
        <w:rPr>
          <w:rFonts w:eastAsia="Times New Roman" w:cs="Times New Roman"/>
          <w:szCs w:val="28"/>
          <w:lang w:eastAsia="ru-RU"/>
        </w:rPr>
        <w:t>.</w:t>
      </w:r>
    </w:p>
    <w:p w:rsidR="00505A4F" w:rsidRPr="005C1020" w:rsidRDefault="0036659F" w:rsidP="00E312D7">
      <w:pPr>
        <w:ind w:firstLine="567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5C1020">
        <w:rPr>
          <w:rFonts w:eastAsia="Times New Roman" w:cs="Times New Roman"/>
          <w:szCs w:val="28"/>
          <w:lang w:eastAsia="ru-RU"/>
        </w:rPr>
        <w:t>П</w:t>
      </w:r>
      <w:r w:rsidR="00333139" w:rsidRPr="005C1020">
        <w:rPr>
          <w:rFonts w:eastAsia="Times New Roman" w:cs="Times New Roman"/>
          <w:szCs w:val="28"/>
          <w:lang w:eastAsia="ru-RU"/>
        </w:rPr>
        <w:t xml:space="preserve">редоставление субсидий </w:t>
      </w:r>
      <w:r w:rsidRPr="005C1020">
        <w:rPr>
          <w:rFonts w:eastAsia="Times New Roman" w:cs="Times New Roman"/>
          <w:szCs w:val="28"/>
          <w:lang w:eastAsia="ru-RU"/>
        </w:rPr>
        <w:t xml:space="preserve">в 2019 году </w:t>
      </w:r>
      <w:r w:rsidR="00333139" w:rsidRPr="005C1020">
        <w:rPr>
          <w:rFonts w:eastAsia="Times New Roman" w:cs="Times New Roman"/>
          <w:szCs w:val="28"/>
          <w:lang w:eastAsia="ru-RU"/>
        </w:rPr>
        <w:t>осуществлялось 1</w:t>
      </w:r>
      <w:r w:rsidR="00327F1C" w:rsidRPr="005C1020">
        <w:rPr>
          <w:rFonts w:eastAsia="Times New Roman" w:cs="Times New Roman"/>
          <w:szCs w:val="28"/>
          <w:lang w:eastAsia="ru-RU"/>
        </w:rPr>
        <w:t>8</w:t>
      </w:r>
      <w:r w:rsidR="00333139" w:rsidRPr="005C1020">
        <w:rPr>
          <w:rFonts w:eastAsia="Times New Roman" w:cs="Times New Roman"/>
          <w:szCs w:val="28"/>
          <w:lang w:eastAsia="ru-RU"/>
        </w:rPr>
        <w:t xml:space="preserve"> </w:t>
      </w:r>
      <w:r w:rsidRPr="005C1020">
        <w:rPr>
          <w:rFonts w:eastAsia="Times New Roman" w:cs="Times New Roman"/>
          <w:szCs w:val="28"/>
          <w:lang w:eastAsia="ru-RU"/>
        </w:rPr>
        <w:t>ГРБС в рамках реализации 13 государственных программ Ленинградской области.</w:t>
      </w:r>
    </w:p>
    <w:p w:rsidR="00D274C6" w:rsidRPr="005C1020" w:rsidRDefault="0036659F" w:rsidP="0036659F">
      <w:pPr>
        <w:ind w:firstLine="567"/>
        <w:jc w:val="both"/>
        <w:rPr>
          <w:rFonts w:cs="Times New Roman"/>
          <w:szCs w:val="28"/>
        </w:rPr>
      </w:pPr>
      <w:r w:rsidRPr="005C1020">
        <w:t>Из 217 муниципальных образований получателями 71 субсидии, предусмотренной в областном бюджете на 2019 год, являлись 216 муниципальных образований</w:t>
      </w:r>
      <w:r w:rsidR="007D2B54" w:rsidRPr="005C1020">
        <w:t>.</w:t>
      </w:r>
      <w:r w:rsidRPr="005C1020">
        <w:t xml:space="preserve"> Н</w:t>
      </w:r>
      <w:r w:rsidR="00D274C6" w:rsidRPr="005C1020">
        <w:t>е предоставлялись</w:t>
      </w:r>
      <w:r w:rsidRPr="005C1020">
        <w:t xml:space="preserve"> субсидии</w:t>
      </w:r>
      <w:r w:rsidR="00D274C6" w:rsidRPr="005C1020">
        <w:t xml:space="preserve"> </w:t>
      </w:r>
      <w:r w:rsidR="00327F1C" w:rsidRPr="005C1020">
        <w:t>1</w:t>
      </w:r>
      <w:r w:rsidR="00D274C6" w:rsidRPr="005C1020">
        <w:t xml:space="preserve"> муниципальн</w:t>
      </w:r>
      <w:r w:rsidR="00327F1C" w:rsidRPr="005C1020">
        <w:t>о</w:t>
      </w:r>
      <w:r w:rsidR="00D274C6" w:rsidRPr="005C1020">
        <w:t>м</w:t>
      </w:r>
      <w:r w:rsidR="00327F1C" w:rsidRPr="005C1020">
        <w:t>у</w:t>
      </w:r>
      <w:r w:rsidR="00D274C6" w:rsidRPr="005C1020">
        <w:t xml:space="preserve"> образовани</w:t>
      </w:r>
      <w:r w:rsidR="00327F1C" w:rsidRPr="005C1020">
        <w:t>ю</w:t>
      </w:r>
      <w:r w:rsidR="00D274C6" w:rsidRPr="005C1020">
        <w:t>, котор</w:t>
      </w:r>
      <w:r w:rsidR="00327F1C" w:rsidRPr="005C1020">
        <w:t>о</w:t>
      </w:r>
      <w:r w:rsidR="00D274C6" w:rsidRPr="005C1020">
        <w:t>е в 201</w:t>
      </w:r>
      <w:r w:rsidR="00327F1C" w:rsidRPr="005C1020">
        <w:t>8</w:t>
      </w:r>
      <w:r w:rsidR="00D274C6" w:rsidRPr="005C1020">
        <w:t xml:space="preserve"> году </w:t>
      </w:r>
      <w:r w:rsidR="00327F1C" w:rsidRPr="005C1020">
        <w:t>не выполнило</w:t>
      </w:r>
      <w:r w:rsidR="00DB324F" w:rsidRPr="005C1020">
        <w:t xml:space="preserve"> </w:t>
      </w:r>
      <w:r w:rsidR="00D274C6" w:rsidRPr="005C1020">
        <w:rPr>
          <w:rFonts w:cs="Times New Roman"/>
          <w:szCs w:val="28"/>
        </w:rPr>
        <w:t>услови</w:t>
      </w:r>
      <w:r w:rsidRPr="005C1020">
        <w:rPr>
          <w:rFonts w:cs="Times New Roman"/>
          <w:szCs w:val="28"/>
        </w:rPr>
        <w:t>я</w:t>
      </w:r>
      <w:r w:rsidR="00D274C6" w:rsidRPr="005C1020">
        <w:rPr>
          <w:rFonts w:cs="Times New Roman"/>
          <w:szCs w:val="28"/>
        </w:rPr>
        <w:t xml:space="preserve"> предоставления межбюджетных трансфертов из областного бюджета, установленн</w:t>
      </w:r>
      <w:r w:rsidRPr="005C1020">
        <w:rPr>
          <w:rFonts w:cs="Times New Roman"/>
          <w:szCs w:val="28"/>
        </w:rPr>
        <w:t>ы</w:t>
      </w:r>
      <w:r w:rsidR="009B4CE3" w:rsidRPr="005C1020">
        <w:rPr>
          <w:rFonts w:cs="Times New Roman"/>
          <w:szCs w:val="28"/>
        </w:rPr>
        <w:t>е</w:t>
      </w:r>
      <w:r w:rsidR="00DB324F" w:rsidRPr="005C1020">
        <w:rPr>
          <w:rFonts w:cs="Times New Roman"/>
          <w:szCs w:val="28"/>
        </w:rPr>
        <w:t xml:space="preserve"> пунктами 2-4 статьи 136 </w:t>
      </w:r>
      <w:r w:rsidR="00D274C6" w:rsidRPr="005C1020">
        <w:rPr>
          <w:rFonts w:cs="Times New Roman"/>
          <w:szCs w:val="28"/>
        </w:rPr>
        <w:t>Бюджетного кодекса Российской Федерации</w:t>
      </w:r>
      <w:r w:rsidR="00DB324F" w:rsidRPr="005C1020">
        <w:rPr>
          <w:rFonts w:cs="Times New Roman"/>
          <w:szCs w:val="28"/>
        </w:rPr>
        <w:t>.</w:t>
      </w:r>
    </w:p>
    <w:p w:rsidR="00F87D85" w:rsidRPr="005C1020" w:rsidRDefault="00F87D85" w:rsidP="00DB324F">
      <w:pPr>
        <w:ind w:firstLine="567"/>
        <w:jc w:val="both"/>
        <w:rPr>
          <w:rFonts w:cs="Times New Roman"/>
          <w:szCs w:val="28"/>
          <w:highlight w:val="yellow"/>
        </w:rPr>
      </w:pP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400"/>
        <w:gridCol w:w="2551"/>
        <w:gridCol w:w="2410"/>
      </w:tblGrid>
      <w:tr w:rsidR="00327F1C" w:rsidRPr="005C1020" w:rsidTr="0095149A">
        <w:trPr>
          <w:trHeight w:val="754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предусмотренных субсидий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МО получателей субсидий</w:t>
            </w:r>
          </w:p>
        </w:tc>
      </w:tr>
      <w:tr w:rsidR="00327F1C" w:rsidRPr="005C1020" w:rsidTr="00662D09">
        <w:trPr>
          <w:trHeight w:val="4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327F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градостроительной политики</w:t>
            </w:r>
            <w:r w:rsidR="00662D09"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7F1C" w:rsidRPr="005C1020" w:rsidTr="00662D09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327F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</w:t>
            </w:r>
            <w:r w:rsidR="00662D09"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27F1C" w:rsidRPr="005C1020" w:rsidTr="00662D09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327F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агропромышленному и рыбохозяйственному комплексу</w:t>
            </w:r>
            <w:r w:rsidR="00662D09"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27F1C" w:rsidRPr="005C1020" w:rsidTr="00662D0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327F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дорожному хозяйству</w:t>
            </w:r>
            <w:r w:rsidR="00662D09"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327F1C" w:rsidRPr="005C1020" w:rsidTr="00662D09">
        <w:trPr>
          <w:trHeight w:val="36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327F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жилищно-коммунальному хозяйству</w:t>
            </w:r>
            <w:r w:rsidR="00662D09"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143A7F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327F1C" w:rsidRPr="005C1020" w:rsidTr="00662D0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327F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культуре</w:t>
            </w:r>
            <w:r w:rsidR="00662D09"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327F1C" w:rsidRPr="005C1020" w:rsidTr="00662D09">
        <w:trPr>
          <w:trHeight w:val="9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327F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</w:t>
            </w:r>
            <w:r w:rsidR="00662D09"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327F1C" w:rsidRPr="005C1020" w:rsidTr="00662D09">
        <w:trPr>
          <w:trHeight w:val="4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327F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молодежной политике</w:t>
            </w:r>
            <w:r w:rsidR="00662D09"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27F1C" w:rsidRPr="005C1020" w:rsidTr="00662D0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327F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Комитет по природным ресурсам</w:t>
            </w:r>
            <w:r w:rsidR="00662D09"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2D09"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7F1C" w:rsidRPr="005C1020" w:rsidTr="00662D09">
        <w:trPr>
          <w:trHeight w:val="65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327F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</w:t>
            </w:r>
            <w:r w:rsidR="00662D09"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27F1C" w:rsidRPr="005C1020" w:rsidTr="00662D09">
        <w:trPr>
          <w:trHeight w:val="27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327F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социальной защите населения</w:t>
            </w:r>
            <w:r w:rsidR="00662D09"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27F1C" w:rsidRPr="005C1020" w:rsidTr="00662D09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327F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строительству</w:t>
            </w:r>
            <w:r w:rsidR="00662D09"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327F1C" w:rsidRPr="005C1020" w:rsidTr="00662D09">
        <w:trPr>
          <w:trHeight w:val="5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327F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</w:t>
            </w:r>
            <w:r w:rsidR="00662D09"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327F1C" w:rsidRPr="005C1020" w:rsidTr="00662D09">
        <w:trPr>
          <w:trHeight w:val="3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327F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  <w:r w:rsidR="00662D09"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7F1C" w:rsidRPr="005C1020" w:rsidTr="00662D09">
        <w:trPr>
          <w:trHeight w:val="60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327F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экономического развития и инвестиционной  деятельности</w:t>
            </w:r>
            <w:r w:rsidR="00662D09"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7F1C" w:rsidRPr="005C1020" w:rsidTr="00662D09">
        <w:trPr>
          <w:trHeight w:val="69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662D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  <w:r w:rsidR="00662D09"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27F1C" w:rsidRPr="005C1020" w:rsidTr="006C594F">
        <w:trPr>
          <w:trHeight w:val="80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662D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Ленинградской области по организации и контролю деятельности по обращению с отходами</w:t>
            </w:r>
            <w:r w:rsidR="00662D09"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27F1C" w:rsidRPr="005C1020" w:rsidTr="00662D09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662D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Ленинградской области по транспорту</w:t>
            </w:r>
            <w:r w:rsidR="00662D09"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7F1C" w:rsidRPr="005C1020" w:rsidTr="007D2B54">
        <w:trPr>
          <w:trHeight w:val="53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1C" w:rsidRPr="005C1020" w:rsidRDefault="00327F1C" w:rsidP="00327F1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143A7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43A7F" w:rsidRPr="005C102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F1C" w:rsidRPr="005C1020" w:rsidRDefault="00327F1C" w:rsidP="00327F1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</w:tbl>
    <w:p w:rsidR="00DB324F" w:rsidRPr="005C1020" w:rsidRDefault="00DB324F" w:rsidP="00E312D7">
      <w:pPr>
        <w:ind w:firstLine="567"/>
        <w:jc w:val="both"/>
        <w:rPr>
          <w:highlight w:val="yellow"/>
        </w:rPr>
      </w:pPr>
    </w:p>
    <w:p w:rsidR="00C50282" w:rsidRPr="005C1020" w:rsidRDefault="00E312D7" w:rsidP="00C50282">
      <w:pPr>
        <w:ind w:firstLine="567"/>
        <w:jc w:val="both"/>
      </w:pPr>
      <w:r w:rsidRPr="005C1020">
        <w:t xml:space="preserve">По </w:t>
      </w:r>
      <w:r w:rsidR="007D2B54" w:rsidRPr="005C1020">
        <w:t>числу</w:t>
      </w:r>
      <w:r w:rsidRPr="005C1020">
        <w:t xml:space="preserve"> предоставл</w:t>
      </w:r>
      <w:r w:rsidR="007D2B54" w:rsidRPr="005C1020">
        <w:t>енных</w:t>
      </w:r>
      <w:r w:rsidRPr="005C1020">
        <w:t xml:space="preserve"> субсидий </w:t>
      </w:r>
      <w:r w:rsidR="00C50282" w:rsidRPr="005C1020">
        <w:t>н</w:t>
      </w:r>
      <w:r w:rsidRPr="005C1020">
        <w:t>аибольше</w:t>
      </w:r>
      <w:r w:rsidR="007D2B54" w:rsidRPr="005C1020">
        <w:t>е</w:t>
      </w:r>
      <w:r w:rsidRPr="005C1020">
        <w:t xml:space="preserve"> </w:t>
      </w:r>
      <w:r w:rsidR="00C50282" w:rsidRPr="005C1020">
        <w:t xml:space="preserve">их </w:t>
      </w:r>
      <w:r w:rsidRPr="005C1020">
        <w:t xml:space="preserve">количество </w:t>
      </w:r>
      <w:r w:rsidR="00C50282" w:rsidRPr="005C1020">
        <w:t xml:space="preserve">осуществляется </w:t>
      </w:r>
      <w:r w:rsidR="009B4CE3" w:rsidRPr="005C1020">
        <w:t>двумя</w:t>
      </w:r>
      <w:r w:rsidRPr="005C1020">
        <w:t xml:space="preserve"> ГРБС</w:t>
      </w:r>
      <w:r w:rsidR="00C50282" w:rsidRPr="005C1020">
        <w:t xml:space="preserve">: </w:t>
      </w:r>
      <w:r w:rsidRPr="005C1020">
        <w:t xml:space="preserve"> комитет</w:t>
      </w:r>
      <w:r w:rsidR="009B4CE3" w:rsidRPr="005C1020">
        <w:t>ом</w:t>
      </w:r>
      <w:r w:rsidRPr="005C1020">
        <w:t xml:space="preserve"> по строительству Ленинградской области </w:t>
      </w:r>
      <w:r w:rsidR="00566472" w:rsidRPr="005C1020">
        <w:t>–</w:t>
      </w:r>
      <w:r w:rsidR="0041634A" w:rsidRPr="005C1020">
        <w:t xml:space="preserve">20 </w:t>
      </w:r>
      <w:r w:rsidR="00566472" w:rsidRPr="005C1020">
        <w:t>субсидий</w:t>
      </w:r>
      <w:r w:rsidR="009B4CE3" w:rsidRPr="005C1020">
        <w:t xml:space="preserve"> и </w:t>
      </w:r>
      <w:r w:rsidR="00566472" w:rsidRPr="005C1020">
        <w:t>комитет</w:t>
      </w:r>
      <w:r w:rsidR="009B4CE3" w:rsidRPr="005C1020">
        <w:t>ом</w:t>
      </w:r>
      <w:r w:rsidR="00566472" w:rsidRPr="005C1020">
        <w:t xml:space="preserve"> общего и профессионального образования Ленинградской области  - </w:t>
      </w:r>
      <w:r w:rsidR="0041634A" w:rsidRPr="005C1020">
        <w:t>12</w:t>
      </w:r>
      <w:r w:rsidR="00566472" w:rsidRPr="005C1020">
        <w:t xml:space="preserve"> субсидий</w:t>
      </w:r>
      <w:r w:rsidR="00C50282" w:rsidRPr="005C1020">
        <w:t>.</w:t>
      </w:r>
    </w:p>
    <w:p w:rsidR="00425D59" w:rsidRPr="005C1020" w:rsidRDefault="00E312D7" w:rsidP="00C50282">
      <w:pPr>
        <w:ind w:firstLine="567"/>
        <w:jc w:val="both"/>
      </w:pPr>
      <w:r w:rsidRPr="005C1020">
        <w:t xml:space="preserve">Итоги </w:t>
      </w:r>
      <w:r w:rsidR="00C50282" w:rsidRPr="005C1020">
        <w:t>исполнения расходов</w:t>
      </w:r>
      <w:r w:rsidR="00D733B7" w:rsidRPr="005C1020">
        <w:t>, осуществляемы</w:t>
      </w:r>
      <w:r w:rsidR="009B4CE3" w:rsidRPr="005C1020">
        <w:t>х</w:t>
      </w:r>
      <w:r w:rsidR="00D733B7" w:rsidRPr="005C1020">
        <w:t xml:space="preserve"> муниципальными образованиями за счет средств субсидий, следующие:</w:t>
      </w:r>
    </w:p>
    <w:p w:rsidR="0041634A" w:rsidRPr="005C1020" w:rsidRDefault="0041634A" w:rsidP="00C50282">
      <w:pPr>
        <w:ind w:firstLine="567"/>
        <w:jc w:val="both"/>
        <w:rPr>
          <w:highlight w:val="yellow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871"/>
        <w:gridCol w:w="1815"/>
        <w:gridCol w:w="1843"/>
      </w:tblGrid>
      <w:tr w:rsidR="005C1020" w:rsidRPr="005C1020" w:rsidTr="006353F9">
        <w:trPr>
          <w:trHeight w:val="179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A" w:rsidRPr="006353F9" w:rsidRDefault="0041634A" w:rsidP="0041634A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0"/>
                <w:lang w:eastAsia="ru-RU"/>
              </w:rPr>
              <w:t>Наименование ГРБС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A" w:rsidRPr="006353F9" w:rsidRDefault="0041634A" w:rsidP="0041634A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0"/>
                <w:lang w:eastAsia="ru-RU"/>
              </w:rPr>
              <w:t>Предусмотрено в областном бюджете (тыс.руб.)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A" w:rsidRPr="006353F9" w:rsidRDefault="0041634A" w:rsidP="0041634A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0"/>
                <w:lang w:eastAsia="ru-RU"/>
              </w:rPr>
              <w:t>Фактически перечислено в МО (тыс.руб.)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A" w:rsidRPr="006353F9" w:rsidRDefault="0041634A" w:rsidP="0041634A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0"/>
                <w:lang w:eastAsia="ru-RU"/>
              </w:rPr>
              <w:t>Фактически израсходовано МО (тыс.руб.)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4A" w:rsidRPr="005C1020" w:rsidRDefault="0041634A" w:rsidP="0041634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10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% исполнения фактически израсходованных средств к </w:t>
            </w:r>
            <w:proofErr w:type="gramStart"/>
            <w:r w:rsidRPr="005C1020">
              <w:rPr>
                <w:rFonts w:eastAsia="Times New Roman" w:cs="Times New Roman"/>
                <w:sz w:val="20"/>
                <w:szCs w:val="20"/>
                <w:lang w:eastAsia="ru-RU"/>
              </w:rPr>
              <w:t>предусмотренным</w:t>
            </w:r>
            <w:proofErr w:type="gramEnd"/>
            <w:r w:rsidRPr="005C10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областном бюджете</w:t>
            </w:r>
          </w:p>
        </w:tc>
      </w:tr>
      <w:tr w:rsidR="005C1020" w:rsidRPr="005C1020" w:rsidTr="006353F9">
        <w:trPr>
          <w:trHeight w:val="5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градостроительной политики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6353F9" w:rsidRDefault="00E73B1C" w:rsidP="0041634A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lang w:eastAsia="ru-RU"/>
              </w:rPr>
              <w:t>44 925,00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6353F9" w:rsidRDefault="00E73B1C" w:rsidP="0041634A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lang w:eastAsia="ru-RU"/>
              </w:rPr>
              <w:t>37 832,47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6353F9" w:rsidRDefault="00E73B1C" w:rsidP="0041634A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lang w:eastAsia="ru-RU"/>
              </w:rPr>
              <w:t>37 832,47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6353F9" w:rsidRDefault="00E73B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3F9">
              <w:rPr>
                <w:rFonts w:cs="Times New Roman"/>
                <w:sz w:val="24"/>
              </w:rPr>
              <w:t>84,2</w:t>
            </w:r>
          </w:p>
        </w:tc>
      </w:tr>
      <w:tr w:rsidR="005C1020" w:rsidRPr="005C1020" w:rsidTr="006353F9">
        <w:trPr>
          <w:trHeight w:val="9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6353F9" w:rsidRDefault="00E73B1C" w:rsidP="0041634A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lang w:eastAsia="ru-RU"/>
              </w:rPr>
              <w:t>1 422 600,01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6353F9" w:rsidRDefault="00E73B1C" w:rsidP="0041634A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lang w:eastAsia="ru-RU"/>
              </w:rPr>
              <w:t>1 422 567,41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6353F9" w:rsidRDefault="00E73B1C" w:rsidP="0041634A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lang w:eastAsia="ru-RU"/>
              </w:rPr>
              <w:t>1 147 260,73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6353F9" w:rsidRDefault="00E73B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3F9">
              <w:rPr>
                <w:rFonts w:cs="Times New Roman"/>
                <w:sz w:val="24"/>
              </w:rPr>
              <w:t>80,6</w:t>
            </w:r>
          </w:p>
        </w:tc>
      </w:tr>
      <w:tr w:rsidR="005C1020" w:rsidRPr="005C1020" w:rsidTr="006353F9">
        <w:trPr>
          <w:trHeight w:val="1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305 422,31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296 183,69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296 177,03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0C09">
              <w:rPr>
                <w:rFonts w:cs="Times New Roman"/>
                <w:sz w:val="24"/>
                <w:szCs w:val="24"/>
              </w:rPr>
              <w:t>97,0</w:t>
            </w:r>
          </w:p>
        </w:tc>
      </w:tr>
      <w:tr w:rsidR="005C1020" w:rsidRPr="005C1020" w:rsidTr="006353F9">
        <w:trPr>
          <w:trHeight w:val="2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1 186 746,33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1 160 944,20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1 098 243,17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0C09">
              <w:rPr>
                <w:rFonts w:cs="Times New Roman"/>
                <w:sz w:val="24"/>
                <w:szCs w:val="24"/>
              </w:rPr>
              <w:t>92,5</w:t>
            </w:r>
          </w:p>
        </w:tc>
      </w:tr>
      <w:tr w:rsidR="005C1020" w:rsidRPr="005C1020" w:rsidTr="006353F9">
        <w:trPr>
          <w:trHeight w:val="5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2 158 607,92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1 959 886,09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1 769 974,68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0C09">
              <w:rPr>
                <w:rFonts w:cs="Times New Roman"/>
                <w:sz w:val="24"/>
                <w:szCs w:val="24"/>
              </w:rPr>
              <w:t>82,0</w:t>
            </w:r>
          </w:p>
        </w:tc>
      </w:tr>
      <w:tr w:rsidR="005C1020" w:rsidRPr="005C1020" w:rsidTr="006353F9">
        <w:trPr>
          <w:trHeight w:val="3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902 726,75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899 454,32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884 929,34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0C09">
              <w:rPr>
                <w:rFonts w:cs="Times New Roman"/>
                <w:sz w:val="24"/>
                <w:szCs w:val="24"/>
              </w:rPr>
              <w:t>98,0</w:t>
            </w:r>
          </w:p>
        </w:tc>
      </w:tr>
      <w:tr w:rsidR="005C1020" w:rsidRPr="005C1020" w:rsidTr="006353F9">
        <w:trPr>
          <w:trHeight w:val="15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455 464,47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443 438,25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443 438,25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0C09">
              <w:rPr>
                <w:rFonts w:cs="Times New Roman"/>
                <w:sz w:val="24"/>
                <w:szCs w:val="24"/>
              </w:rPr>
              <w:t>97,4</w:t>
            </w:r>
          </w:p>
        </w:tc>
      </w:tr>
      <w:tr w:rsidR="005C1020" w:rsidRPr="005C1020" w:rsidTr="006353F9">
        <w:trPr>
          <w:trHeight w:val="6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17 450,00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17 450,00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17 427,15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0C09">
              <w:rPr>
                <w:rFonts w:cs="Times New Roman"/>
                <w:sz w:val="24"/>
                <w:szCs w:val="24"/>
              </w:rPr>
              <w:t>99,9</w:t>
            </w:r>
          </w:p>
        </w:tc>
      </w:tr>
      <w:tr w:rsidR="005C1020" w:rsidRPr="005C1020" w:rsidTr="006353F9">
        <w:trPr>
          <w:trHeight w:val="6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Комитет по природным ресурсам Ленинградской области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1 206,40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1 206,40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1 206,40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0C09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5C1020" w:rsidRPr="005C1020" w:rsidTr="006353F9">
        <w:trPr>
          <w:trHeight w:val="9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75 487,92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75 487,92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75 487,92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0C09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5C1020" w:rsidRPr="005C1020" w:rsidTr="006353F9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88 744,25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88 744,25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88 704,75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7D2B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0C09">
              <w:rPr>
                <w:rFonts w:cs="Times New Roman"/>
                <w:sz w:val="24"/>
                <w:szCs w:val="24"/>
              </w:rPr>
              <w:t>99,96</w:t>
            </w:r>
          </w:p>
        </w:tc>
      </w:tr>
      <w:tr w:rsidR="005C1020" w:rsidRPr="005C1020" w:rsidTr="006353F9">
        <w:trPr>
          <w:trHeight w:val="4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5 814 808,54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5 274 992,02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4 961 387,95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0C09">
              <w:rPr>
                <w:rFonts w:cs="Times New Roman"/>
                <w:sz w:val="24"/>
                <w:szCs w:val="24"/>
              </w:rPr>
              <w:t>85,3</w:t>
            </w:r>
          </w:p>
        </w:tc>
      </w:tr>
      <w:tr w:rsidR="005C1020" w:rsidRPr="005C1020" w:rsidTr="006353F9">
        <w:trPr>
          <w:trHeight w:val="7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1 474 270,52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1 375 261,79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1 297 100,91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0C09">
              <w:rPr>
                <w:rFonts w:cs="Times New Roman"/>
                <w:sz w:val="24"/>
                <w:szCs w:val="24"/>
              </w:rPr>
              <w:t>88,0</w:t>
            </w:r>
          </w:p>
        </w:tc>
      </w:tr>
      <w:tr w:rsidR="005C1020" w:rsidRPr="005C1020" w:rsidTr="006353F9">
        <w:trPr>
          <w:trHeight w:val="7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245 046,25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183 272,69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183 272,69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0C09">
              <w:rPr>
                <w:rFonts w:cs="Times New Roman"/>
                <w:sz w:val="24"/>
                <w:szCs w:val="24"/>
              </w:rPr>
              <w:t>74,8</w:t>
            </w:r>
          </w:p>
        </w:tc>
      </w:tr>
      <w:tr w:rsidR="005C1020" w:rsidRPr="005C1020" w:rsidTr="006353F9">
        <w:trPr>
          <w:trHeight w:val="8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Комитет экономического развития и инвестиционной  деятельности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5 250,00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5 205,00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5 205,00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0C09">
              <w:rPr>
                <w:rFonts w:cs="Times New Roman"/>
                <w:sz w:val="24"/>
                <w:szCs w:val="24"/>
              </w:rPr>
              <w:t>99,1</w:t>
            </w:r>
          </w:p>
        </w:tc>
      </w:tr>
      <w:tr w:rsidR="005C1020" w:rsidRPr="005C1020" w:rsidTr="006353F9">
        <w:trPr>
          <w:trHeight w:val="9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29 217,80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23 110,91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22 570,51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0C09">
              <w:rPr>
                <w:rFonts w:cs="Times New Roman"/>
                <w:sz w:val="24"/>
                <w:szCs w:val="24"/>
              </w:rPr>
              <w:t>77,2</w:t>
            </w:r>
          </w:p>
        </w:tc>
      </w:tr>
      <w:tr w:rsidR="005C1020" w:rsidRPr="005C1020" w:rsidTr="006353F9">
        <w:trPr>
          <w:trHeight w:val="1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174 519,00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154 993,43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154 993,43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0C09">
              <w:rPr>
                <w:rFonts w:cs="Times New Roman"/>
                <w:sz w:val="24"/>
                <w:szCs w:val="24"/>
              </w:rPr>
              <w:t>88,8</w:t>
            </w:r>
          </w:p>
        </w:tc>
      </w:tr>
      <w:tr w:rsidR="005C1020" w:rsidRPr="005C1020" w:rsidTr="006353F9">
        <w:trPr>
          <w:trHeight w:val="5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9 778,22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 w:rsidP="004163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C09">
              <w:rPr>
                <w:rFonts w:eastAsia="Times New Roman" w:cs="Times New Roman"/>
                <w:sz w:val="24"/>
                <w:szCs w:val="24"/>
                <w:lang w:eastAsia="ru-RU"/>
              </w:rPr>
              <w:t>9 778,22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A70C09" w:rsidRDefault="00E73B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0C09">
              <w:rPr>
                <w:rFonts w:cs="Times New Roman"/>
                <w:sz w:val="24"/>
                <w:szCs w:val="24"/>
              </w:rPr>
              <w:t>97,8</w:t>
            </w:r>
          </w:p>
        </w:tc>
      </w:tr>
      <w:tr w:rsidR="006353F9" w:rsidRPr="005C1020" w:rsidTr="006353F9">
        <w:trPr>
          <w:trHeight w:val="4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C102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C1020">
              <w:rPr>
                <w:rFonts w:eastAsia="Times New Roman" w:cs="Times New Roman"/>
                <w:b/>
                <w:sz w:val="22"/>
                <w:lang w:eastAsia="ru-RU"/>
              </w:rPr>
              <w:t>14 412 493,47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C1020">
              <w:rPr>
                <w:rFonts w:eastAsia="Times New Roman" w:cs="Times New Roman"/>
                <w:b/>
                <w:sz w:val="22"/>
                <w:lang w:eastAsia="ru-RU"/>
              </w:rPr>
              <w:t>13 429 809,05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 w:rsidP="0041634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C1020">
              <w:rPr>
                <w:rFonts w:eastAsia="Times New Roman" w:cs="Times New Roman"/>
                <w:b/>
                <w:sz w:val="22"/>
                <w:lang w:eastAsia="ru-RU"/>
              </w:rPr>
              <w:t>12 494 990,60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C" w:rsidRPr="005C1020" w:rsidRDefault="00E73B1C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C1020">
              <w:rPr>
                <w:rFonts w:cs="Times New Roman"/>
                <w:b/>
                <w:sz w:val="22"/>
              </w:rPr>
              <w:t>86,7</w:t>
            </w:r>
          </w:p>
        </w:tc>
      </w:tr>
    </w:tbl>
    <w:p w:rsidR="0041634A" w:rsidRPr="005C1020" w:rsidRDefault="0041634A" w:rsidP="00C50282">
      <w:pPr>
        <w:ind w:firstLine="567"/>
        <w:jc w:val="both"/>
        <w:rPr>
          <w:highlight w:val="yellow"/>
        </w:rPr>
      </w:pPr>
    </w:p>
    <w:p w:rsidR="00425D59" w:rsidRPr="005C1020" w:rsidRDefault="007D2B54" w:rsidP="00B8483E">
      <w:pPr>
        <w:ind w:firstLine="567"/>
        <w:jc w:val="both"/>
        <w:rPr>
          <w:szCs w:val="28"/>
        </w:rPr>
      </w:pPr>
      <w:r w:rsidRPr="005C1020">
        <w:rPr>
          <w:szCs w:val="28"/>
        </w:rPr>
        <w:t xml:space="preserve">Таким образом, </w:t>
      </w:r>
      <w:r w:rsidR="00D733B7" w:rsidRPr="005C1020">
        <w:rPr>
          <w:szCs w:val="28"/>
        </w:rPr>
        <w:t xml:space="preserve">только по </w:t>
      </w:r>
      <w:r w:rsidR="0041634A" w:rsidRPr="005C1020">
        <w:rPr>
          <w:szCs w:val="28"/>
        </w:rPr>
        <w:t>дву</w:t>
      </w:r>
      <w:r w:rsidR="00BD778F" w:rsidRPr="005C1020">
        <w:rPr>
          <w:szCs w:val="28"/>
        </w:rPr>
        <w:t>м</w:t>
      </w:r>
      <w:r w:rsidR="00D733B7" w:rsidRPr="005C1020">
        <w:rPr>
          <w:szCs w:val="28"/>
        </w:rPr>
        <w:t xml:space="preserve"> ГРБС </w:t>
      </w:r>
      <w:r w:rsidRPr="005C1020">
        <w:rPr>
          <w:szCs w:val="28"/>
        </w:rPr>
        <w:t xml:space="preserve">из 18 ГРБС </w:t>
      </w:r>
      <w:r w:rsidR="00302C7D" w:rsidRPr="005C1020">
        <w:rPr>
          <w:szCs w:val="28"/>
        </w:rPr>
        <w:t xml:space="preserve">предусмотренные </w:t>
      </w:r>
      <w:r w:rsidR="00D733B7" w:rsidRPr="005C1020">
        <w:rPr>
          <w:szCs w:val="28"/>
        </w:rPr>
        <w:t>средства</w:t>
      </w:r>
      <w:r w:rsidRPr="005C1020">
        <w:rPr>
          <w:szCs w:val="28"/>
        </w:rPr>
        <w:t xml:space="preserve"> субсидий</w:t>
      </w:r>
      <w:r w:rsidR="00D733B7" w:rsidRPr="005C1020">
        <w:rPr>
          <w:szCs w:val="28"/>
        </w:rPr>
        <w:t xml:space="preserve"> </w:t>
      </w:r>
      <w:r w:rsidR="00302C7D" w:rsidRPr="005C1020">
        <w:rPr>
          <w:szCs w:val="28"/>
        </w:rPr>
        <w:t xml:space="preserve">израсходованы муниципальными образованиями в полном объеме. Это </w:t>
      </w:r>
      <w:r w:rsidR="00C63C9D" w:rsidRPr="005C1020">
        <w:rPr>
          <w:rFonts w:eastAsia="Times New Roman" w:cs="Times New Roman"/>
          <w:szCs w:val="28"/>
          <w:lang w:eastAsia="ru-RU"/>
        </w:rPr>
        <w:t>комитет по природным ресурсам Ленинградской области</w:t>
      </w:r>
      <w:r w:rsidR="0041634A" w:rsidRPr="005C1020">
        <w:rPr>
          <w:rFonts w:eastAsia="Times New Roman" w:cs="Times New Roman"/>
          <w:szCs w:val="28"/>
          <w:lang w:eastAsia="ru-RU"/>
        </w:rPr>
        <w:t xml:space="preserve"> и комитет по развитию малого, среднего бизнеса и потребительского рынка Ленинградской области</w:t>
      </w:r>
      <w:r w:rsidR="00302C7D" w:rsidRPr="005C1020">
        <w:rPr>
          <w:szCs w:val="28"/>
        </w:rPr>
        <w:t>.</w:t>
      </w:r>
    </w:p>
    <w:p w:rsidR="00302C7D" w:rsidRPr="005C1020" w:rsidRDefault="004F279C" w:rsidP="00B8483E">
      <w:pPr>
        <w:ind w:firstLine="567"/>
        <w:jc w:val="both"/>
        <w:rPr>
          <w:szCs w:val="28"/>
        </w:rPr>
      </w:pPr>
      <w:proofErr w:type="gramStart"/>
      <w:r w:rsidRPr="005C1020">
        <w:rPr>
          <w:szCs w:val="28"/>
        </w:rPr>
        <w:t xml:space="preserve">Неизрасходованный остаток средств субсидий менее </w:t>
      </w:r>
      <w:r w:rsidR="00E77E1E">
        <w:rPr>
          <w:szCs w:val="28"/>
        </w:rPr>
        <w:t>4</w:t>
      </w:r>
      <w:r w:rsidRPr="005C1020">
        <w:rPr>
          <w:szCs w:val="28"/>
        </w:rPr>
        <w:t>% на</w:t>
      </w:r>
      <w:r w:rsidR="00302C7D" w:rsidRPr="005C1020">
        <w:rPr>
          <w:szCs w:val="28"/>
        </w:rPr>
        <w:t xml:space="preserve">блюдается </w:t>
      </w:r>
      <w:r w:rsidR="00BD778F" w:rsidRPr="005C1020">
        <w:rPr>
          <w:szCs w:val="28"/>
        </w:rPr>
        <w:t>по</w:t>
      </w:r>
      <w:r w:rsidR="00302C7D" w:rsidRPr="005C1020">
        <w:rPr>
          <w:szCs w:val="28"/>
        </w:rPr>
        <w:t xml:space="preserve"> </w:t>
      </w:r>
      <w:r w:rsidRPr="005C1020">
        <w:rPr>
          <w:szCs w:val="28"/>
        </w:rPr>
        <w:t>7</w:t>
      </w:r>
      <w:r w:rsidR="00302C7D" w:rsidRPr="005C1020">
        <w:rPr>
          <w:szCs w:val="28"/>
        </w:rPr>
        <w:t xml:space="preserve"> ГРБС</w:t>
      </w:r>
      <w:r w:rsidR="0041634A" w:rsidRPr="005C1020">
        <w:rPr>
          <w:szCs w:val="28"/>
        </w:rPr>
        <w:t xml:space="preserve"> </w:t>
      </w:r>
      <w:r w:rsidR="00302C7D" w:rsidRPr="005C1020">
        <w:rPr>
          <w:szCs w:val="28"/>
        </w:rPr>
        <w:t xml:space="preserve">(комитет по местному самоуправлению, межнациональным и межконфессиональным отношениям Ленинградской области, </w:t>
      </w:r>
      <w:r w:rsidR="00212EF8" w:rsidRPr="005C1020">
        <w:rPr>
          <w:rFonts w:eastAsia="Times New Roman" w:cs="Times New Roman"/>
          <w:szCs w:val="28"/>
          <w:lang w:eastAsia="ru-RU"/>
        </w:rPr>
        <w:t>комитет по молодежной политике Ленинградской области,</w:t>
      </w:r>
      <w:r w:rsidR="0041634A" w:rsidRPr="005C1020">
        <w:rPr>
          <w:rFonts w:eastAsia="Times New Roman" w:cs="Times New Roman"/>
          <w:szCs w:val="28"/>
          <w:lang w:eastAsia="ru-RU"/>
        </w:rPr>
        <w:t xml:space="preserve"> </w:t>
      </w:r>
      <w:r w:rsidR="0041634A" w:rsidRPr="005C1020">
        <w:rPr>
          <w:szCs w:val="28"/>
        </w:rPr>
        <w:t>комитет по агропромышленному и рыбохозяйственному комплексу Ленинградской области</w:t>
      </w:r>
      <w:r w:rsidR="00212EF8" w:rsidRPr="005C1020">
        <w:rPr>
          <w:rFonts w:eastAsia="Times New Roman" w:cs="Times New Roman"/>
          <w:szCs w:val="28"/>
          <w:lang w:eastAsia="ru-RU"/>
        </w:rPr>
        <w:t>, комитет по социальной защите населения Ленинградской области, комитет экономического развития и инвестиционной деятельности Ленинградской области</w:t>
      </w:r>
      <w:r w:rsidR="0041634A" w:rsidRPr="005C1020">
        <w:rPr>
          <w:rFonts w:eastAsia="Times New Roman" w:cs="Times New Roman"/>
          <w:szCs w:val="28"/>
          <w:lang w:eastAsia="ru-RU"/>
        </w:rPr>
        <w:t xml:space="preserve">, </w:t>
      </w:r>
      <w:r w:rsidR="0041634A" w:rsidRPr="005C1020">
        <w:rPr>
          <w:szCs w:val="28"/>
        </w:rPr>
        <w:t>комитет по культуре Ленинградской области, управлени</w:t>
      </w:r>
      <w:r w:rsidRPr="005C1020">
        <w:rPr>
          <w:szCs w:val="28"/>
        </w:rPr>
        <w:t>е</w:t>
      </w:r>
      <w:r w:rsidR="0041634A" w:rsidRPr="005C1020">
        <w:rPr>
          <w:szCs w:val="28"/>
        </w:rPr>
        <w:t xml:space="preserve"> Ленинградской области по транспорту</w:t>
      </w:r>
      <w:r w:rsidR="00302C7D" w:rsidRPr="005C1020">
        <w:rPr>
          <w:szCs w:val="28"/>
        </w:rPr>
        <w:t>).</w:t>
      </w:r>
      <w:proofErr w:type="gramEnd"/>
    </w:p>
    <w:p w:rsidR="00350DD2" w:rsidRDefault="00BD778F" w:rsidP="00B8483E">
      <w:pPr>
        <w:ind w:firstLine="567"/>
        <w:jc w:val="both"/>
        <w:rPr>
          <w:szCs w:val="28"/>
        </w:rPr>
      </w:pPr>
      <w:r w:rsidRPr="005C1020">
        <w:rPr>
          <w:szCs w:val="28"/>
        </w:rPr>
        <w:t xml:space="preserve">Израсходовано </w:t>
      </w:r>
      <w:r w:rsidR="00FC6A7F" w:rsidRPr="005C1020">
        <w:rPr>
          <w:szCs w:val="28"/>
        </w:rPr>
        <w:t xml:space="preserve">от </w:t>
      </w:r>
      <w:r w:rsidR="00350DD2">
        <w:rPr>
          <w:szCs w:val="28"/>
        </w:rPr>
        <w:t>9</w:t>
      </w:r>
      <w:r w:rsidR="00FC6A7F" w:rsidRPr="005C1020">
        <w:rPr>
          <w:szCs w:val="28"/>
        </w:rPr>
        <w:t xml:space="preserve">0% до </w:t>
      </w:r>
      <w:r w:rsidR="00A32AAB" w:rsidRPr="005C1020">
        <w:rPr>
          <w:szCs w:val="28"/>
        </w:rPr>
        <w:t>9</w:t>
      </w:r>
      <w:r w:rsidR="00350DD2">
        <w:rPr>
          <w:szCs w:val="28"/>
        </w:rPr>
        <w:t>6</w:t>
      </w:r>
      <w:r w:rsidR="00A32AAB" w:rsidRPr="005C1020">
        <w:rPr>
          <w:szCs w:val="28"/>
        </w:rPr>
        <w:t>%</w:t>
      </w:r>
      <w:r w:rsidRPr="005C1020">
        <w:rPr>
          <w:szCs w:val="28"/>
        </w:rPr>
        <w:t xml:space="preserve"> средств субсидий</w:t>
      </w:r>
      <w:r w:rsidR="00A32AAB" w:rsidRPr="005C1020">
        <w:rPr>
          <w:szCs w:val="28"/>
        </w:rPr>
        <w:t xml:space="preserve"> </w:t>
      </w:r>
      <w:r w:rsidR="00350DD2">
        <w:rPr>
          <w:szCs w:val="28"/>
        </w:rPr>
        <w:t xml:space="preserve">у одного ГРБС. Это </w:t>
      </w:r>
      <w:r w:rsidR="00C027D2" w:rsidRPr="005C1020">
        <w:rPr>
          <w:szCs w:val="28"/>
        </w:rPr>
        <w:t>комитет по дорожному хозяйству Ленинградской области</w:t>
      </w:r>
      <w:r w:rsidR="00C027D2">
        <w:rPr>
          <w:szCs w:val="28"/>
        </w:rPr>
        <w:t>.</w:t>
      </w:r>
    </w:p>
    <w:p w:rsidR="00302C7D" w:rsidRPr="005C1020" w:rsidRDefault="00C027D2" w:rsidP="00B8483E">
      <w:pPr>
        <w:ind w:firstLine="567"/>
        <w:jc w:val="both"/>
        <w:rPr>
          <w:szCs w:val="28"/>
        </w:rPr>
      </w:pPr>
      <w:proofErr w:type="gramStart"/>
      <w:r w:rsidRPr="005C1020">
        <w:rPr>
          <w:szCs w:val="28"/>
        </w:rPr>
        <w:t xml:space="preserve">Израсходовано </w:t>
      </w:r>
      <w:r>
        <w:rPr>
          <w:szCs w:val="28"/>
        </w:rPr>
        <w:t>менее</w:t>
      </w:r>
      <w:r w:rsidRPr="005C1020">
        <w:rPr>
          <w:szCs w:val="28"/>
        </w:rPr>
        <w:t xml:space="preserve"> </w:t>
      </w:r>
      <w:r>
        <w:rPr>
          <w:szCs w:val="28"/>
        </w:rPr>
        <w:t>9</w:t>
      </w:r>
      <w:r w:rsidRPr="005C1020">
        <w:rPr>
          <w:szCs w:val="28"/>
        </w:rPr>
        <w:t xml:space="preserve">0% средств субсидий </w:t>
      </w:r>
      <w:r w:rsidR="000E3259">
        <w:rPr>
          <w:szCs w:val="28"/>
        </w:rPr>
        <w:t xml:space="preserve">у </w:t>
      </w:r>
      <w:r w:rsidR="00B853F4">
        <w:rPr>
          <w:szCs w:val="28"/>
        </w:rPr>
        <w:t>8</w:t>
      </w:r>
      <w:r w:rsidR="00A32AAB" w:rsidRPr="005C1020">
        <w:rPr>
          <w:szCs w:val="28"/>
        </w:rPr>
        <w:t xml:space="preserve"> ГРБС (</w:t>
      </w:r>
      <w:r w:rsidR="00212EF8" w:rsidRPr="005C1020">
        <w:rPr>
          <w:szCs w:val="28"/>
        </w:rPr>
        <w:t>к</w:t>
      </w:r>
      <w:r w:rsidR="00A32AAB" w:rsidRPr="005C1020">
        <w:rPr>
          <w:szCs w:val="28"/>
        </w:rPr>
        <w:t>омитет общего и профессионального образования Ленинградской области</w:t>
      </w:r>
      <w:r w:rsidR="00FC6A7F" w:rsidRPr="005C1020">
        <w:rPr>
          <w:szCs w:val="28"/>
        </w:rPr>
        <w:t xml:space="preserve">, </w:t>
      </w:r>
      <w:r w:rsidR="00EE43FE" w:rsidRPr="005C1020">
        <w:rPr>
          <w:szCs w:val="28"/>
        </w:rPr>
        <w:t>комитет градостроительной политики Ленинградской области</w:t>
      </w:r>
      <w:r w:rsidR="00FC6A7F" w:rsidRPr="005C1020">
        <w:rPr>
          <w:szCs w:val="28"/>
        </w:rPr>
        <w:t>,</w:t>
      </w:r>
      <w:r w:rsidR="00EE43FE" w:rsidRPr="005C1020">
        <w:rPr>
          <w:szCs w:val="28"/>
        </w:rPr>
        <w:t xml:space="preserve"> </w:t>
      </w:r>
      <w:r w:rsidR="00212EF8" w:rsidRPr="005C1020">
        <w:rPr>
          <w:szCs w:val="28"/>
        </w:rPr>
        <w:t>комитет по жилищно-коммунальному хозяйству Ленинградской области</w:t>
      </w:r>
      <w:r w:rsidR="00FC6A7F" w:rsidRPr="005C1020">
        <w:rPr>
          <w:szCs w:val="28"/>
        </w:rPr>
        <w:t>,</w:t>
      </w:r>
      <w:r w:rsidR="00A32AAB" w:rsidRPr="005C1020">
        <w:rPr>
          <w:szCs w:val="28"/>
        </w:rPr>
        <w:t xml:space="preserve"> </w:t>
      </w:r>
      <w:r w:rsidR="00BD778F" w:rsidRPr="005C1020">
        <w:rPr>
          <w:szCs w:val="28"/>
        </w:rPr>
        <w:t xml:space="preserve">комитет </w:t>
      </w:r>
      <w:r w:rsidR="00212EF8" w:rsidRPr="005C1020">
        <w:rPr>
          <w:szCs w:val="28"/>
        </w:rPr>
        <w:t>по строительству Ленинградской области, к</w:t>
      </w:r>
      <w:r w:rsidR="00A32AAB" w:rsidRPr="005C1020">
        <w:rPr>
          <w:szCs w:val="28"/>
        </w:rPr>
        <w:t>омитет по топливно-энергетическому комплексу Ленинградской области</w:t>
      </w:r>
      <w:r w:rsidR="00EE43FE" w:rsidRPr="005C1020">
        <w:rPr>
          <w:szCs w:val="28"/>
        </w:rPr>
        <w:t>, управлени</w:t>
      </w:r>
      <w:r w:rsidR="00BD778F" w:rsidRPr="005C1020">
        <w:rPr>
          <w:szCs w:val="28"/>
        </w:rPr>
        <w:t>е</w:t>
      </w:r>
      <w:r w:rsidR="00EE43FE" w:rsidRPr="005C1020">
        <w:rPr>
          <w:szCs w:val="28"/>
        </w:rPr>
        <w:t xml:space="preserve"> Ленинградской области по организации и контролю деятельности по обращению с отходами</w:t>
      </w:r>
      <w:r w:rsidR="00B853F4">
        <w:rPr>
          <w:szCs w:val="28"/>
        </w:rPr>
        <w:t>,</w:t>
      </w:r>
      <w:r w:rsidR="00A31328" w:rsidRPr="00A31328">
        <w:rPr>
          <w:szCs w:val="28"/>
        </w:rPr>
        <w:t xml:space="preserve"> </w:t>
      </w:r>
      <w:r w:rsidR="00A31328" w:rsidRPr="005C1020">
        <w:rPr>
          <w:szCs w:val="28"/>
        </w:rPr>
        <w:t>комитет по физической культуре и спорту Ленинградской области</w:t>
      </w:r>
      <w:r w:rsidR="00A31328">
        <w:rPr>
          <w:szCs w:val="28"/>
        </w:rPr>
        <w:t xml:space="preserve">, </w:t>
      </w:r>
      <w:r w:rsidR="00B853F4">
        <w:rPr>
          <w:szCs w:val="28"/>
        </w:rPr>
        <w:t xml:space="preserve"> </w:t>
      </w:r>
      <w:r w:rsidR="00A31328" w:rsidRPr="005C1020">
        <w:rPr>
          <w:rFonts w:eastAsia="Times New Roman" w:cs="Times New Roman"/>
          <w:szCs w:val="28"/>
          <w:lang w:eastAsia="ru-RU"/>
        </w:rPr>
        <w:t>Ленинградск</w:t>
      </w:r>
      <w:r w:rsidR="00A31328">
        <w:rPr>
          <w:rFonts w:eastAsia="Times New Roman" w:cs="Times New Roman"/>
          <w:szCs w:val="28"/>
          <w:lang w:eastAsia="ru-RU"/>
        </w:rPr>
        <w:t>ий</w:t>
      </w:r>
      <w:r w:rsidR="00A31328" w:rsidRPr="005C1020">
        <w:rPr>
          <w:rFonts w:eastAsia="Times New Roman" w:cs="Times New Roman"/>
          <w:szCs w:val="28"/>
          <w:lang w:eastAsia="ru-RU"/>
        </w:rPr>
        <w:t xml:space="preserve"> областно</w:t>
      </w:r>
      <w:r w:rsidR="00A31328">
        <w:rPr>
          <w:rFonts w:eastAsia="Times New Roman" w:cs="Times New Roman"/>
          <w:szCs w:val="28"/>
          <w:lang w:eastAsia="ru-RU"/>
        </w:rPr>
        <w:t>й комитет</w:t>
      </w:r>
      <w:proofErr w:type="gramEnd"/>
      <w:r w:rsidR="00A31328" w:rsidRPr="005C1020">
        <w:rPr>
          <w:rFonts w:eastAsia="Times New Roman" w:cs="Times New Roman"/>
          <w:szCs w:val="28"/>
          <w:lang w:eastAsia="ru-RU"/>
        </w:rPr>
        <w:t xml:space="preserve"> по управлению государственным имуществом</w:t>
      </w:r>
      <w:r w:rsidR="00212EF8" w:rsidRPr="005C1020">
        <w:rPr>
          <w:szCs w:val="28"/>
        </w:rPr>
        <w:t>)</w:t>
      </w:r>
      <w:r w:rsidR="00FC6A7F" w:rsidRPr="005C1020">
        <w:rPr>
          <w:szCs w:val="28"/>
        </w:rPr>
        <w:t xml:space="preserve">. </w:t>
      </w:r>
    </w:p>
    <w:p w:rsidR="00E73B1C" w:rsidRPr="005C1020" w:rsidRDefault="00ED262F" w:rsidP="00F00FB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C1020">
        <w:rPr>
          <w:szCs w:val="28"/>
        </w:rPr>
        <w:t>Низкое</w:t>
      </w:r>
      <w:r w:rsidR="00FC6A7F" w:rsidRPr="005C1020">
        <w:rPr>
          <w:szCs w:val="28"/>
        </w:rPr>
        <w:t xml:space="preserve"> </w:t>
      </w:r>
      <w:r w:rsidR="00BD778F" w:rsidRPr="005C1020">
        <w:rPr>
          <w:szCs w:val="28"/>
        </w:rPr>
        <w:t>расходование средств субсидий муниципальными образованиями</w:t>
      </w:r>
      <w:r w:rsidR="00011D5D" w:rsidRPr="005C1020">
        <w:rPr>
          <w:szCs w:val="28"/>
        </w:rPr>
        <w:t xml:space="preserve"> наблюдается</w:t>
      </w:r>
      <w:r w:rsidR="00FC6A7F" w:rsidRPr="005C1020">
        <w:rPr>
          <w:szCs w:val="28"/>
        </w:rPr>
        <w:t xml:space="preserve"> </w:t>
      </w:r>
      <w:r w:rsidR="00BD778F" w:rsidRPr="005C1020">
        <w:rPr>
          <w:szCs w:val="28"/>
        </w:rPr>
        <w:t>у</w:t>
      </w:r>
      <w:r w:rsidR="00FC6A7F" w:rsidRPr="005C1020">
        <w:rPr>
          <w:szCs w:val="28"/>
        </w:rPr>
        <w:t xml:space="preserve"> </w:t>
      </w:r>
      <w:r w:rsidR="00BD778F" w:rsidRPr="005C1020">
        <w:rPr>
          <w:szCs w:val="28"/>
        </w:rPr>
        <w:t>комитета</w:t>
      </w:r>
      <w:r w:rsidR="00E73B1C" w:rsidRPr="005C1020">
        <w:rPr>
          <w:szCs w:val="28"/>
        </w:rPr>
        <w:t xml:space="preserve"> по физической культуре и спорту </w:t>
      </w:r>
      <w:r w:rsidR="00F00FBE" w:rsidRPr="005C1020">
        <w:rPr>
          <w:szCs w:val="28"/>
        </w:rPr>
        <w:t>Ленинградской области (</w:t>
      </w:r>
      <w:r w:rsidR="00E73B1C" w:rsidRPr="005C1020">
        <w:rPr>
          <w:szCs w:val="28"/>
        </w:rPr>
        <w:t>74,8</w:t>
      </w:r>
      <w:r w:rsidR="00F00FBE" w:rsidRPr="005C1020">
        <w:rPr>
          <w:szCs w:val="28"/>
        </w:rPr>
        <w:t>%)</w:t>
      </w:r>
      <w:r w:rsidR="00BD778F" w:rsidRPr="005C1020">
        <w:rPr>
          <w:szCs w:val="28"/>
        </w:rPr>
        <w:t xml:space="preserve">, а также </w:t>
      </w:r>
      <w:r w:rsidR="00F00FBE" w:rsidRPr="005C1020">
        <w:rPr>
          <w:rFonts w:eastAsia="Times New Roman" w:cs="Times New Roman"/>
          <w:szCs w:val="28"/>
          <w:lang w:eastAsia="ru-RU"/>
        </w:rPr>
        <w:t>Ленинградского областного комитета по управлению государственным имуществом (</w:t>
      </w:r>
      <w:r w:rsidR="00E73B1C" w:rsidRPr="005C1020">
        <w:rPr>
          <w:rFonts w:eastAsia="Times New Roman" w:cs="Times New Roman"/>
          <w:szCs w:val="28"/>
          <w:lang w:eastAsia="ru-RU"/>
        </w:rPr>
        <w:t>77,2</w:t>
      </w:r>
      <w:r w:rsidR="00F00FBE" w:rsidRPr="005C1020">
        <w:rPr>
          <w:rFonts w:eastAsia="Times New Roman" w:cs="Times New Roman"/>
          <w:szCs w:val="28"/>
          <w:lang w:eastAsia="ru-RU"/>
        </w:rPr>
        <w:t xml:space="preserve">%). </w:t>
      </w:r>
    </w:p>
    <w:p w:rsidR="00BD778F" w:rsidRPr="005C1020" w:rsidRDefault="00BD778F" w:rsidP="00F00FB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C1020">
        <w:rPr>
          <w:rFonts w:eastAsia="Times New Roman" w:cs="Times New Roman"/>
          <w:szCs w:val="28"/>
          <w:lang w:eastAsia="ru-RU"/>
        </w:rPr>
        <w:t>Следует отметить, что фактическое расходование муниципальными образованиями средств субсидий в целом за 2019 год снизилось по сравнению с 2018 годом - с 87,2% (12 160,8 млн. руб.) в 2018 году до 86,7 % (12 494,9 млн. руб.) в 2019 году</w:t>
      </w:r>
      <w:r w:rsidR="00614FE1" w:rsidRPr="005C1020">
        <w:rPr>
          <w:rFonts w:eastAsia="Times New Roman" w:cs="Times New Roman"/>
          <w:szCs w:val="28"/>
          <w:lang w:eastAsia="ru-RU"/>
        </w:rPr>
        <w:t>:</w:t>
      </w:r>
    </w:p>
    <w:p w:rsidR="005C1020" w:rsidRPr="00614FE1" w:rsidRDefault="005C1020" w:rsidP="00F00FBE">
      <w:pPr>
        <w:ind w:firstLine="567"/>
        <w:jc w:val="both"/>
        <w:rPr>
          <w:rFonts w:eastAsia="Times New Roman" w:cs="Times New Roman"/>
          <w:color w:val="FF0000"/>
          <w:sz w:val="18"/>
          <w:szCs w:val="18"/>
          <w:lang w:eastAsia="ru-RU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2552"/>
        <w:gridCol w:w="3969"/>
        <w:gridCol w:w="4252"/>
      </w:tblGrid>
      <w:tr w:rsidR="008E450F" w:rsidRPr="00614FE1" w:rsidTr="00614FE1">
        <w:trPr>
          <w:trHeight w:val="23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614FE1" w:rsidRDefault="008E450F" w:rsidP="00614FE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14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фактически использованной субсидии, предусмотренной в областном бюджете</w:t>
            </w:r>
            <w:proofErr w:type="gramStart"/>
            <w:r w:rsidR="00614FE1" w:rsidRPr="00614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4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(%)</w:t>
            </w:r>
            <w:proofErr w:type="gramEnd"/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0F" w:rsidRPr="00614FE1" w:rsidRDefault="008E450F" w:rsidP="006A5ED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14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ГРБС</w:t>
            </w:r>
          </w:p>
        </w:tc>
      </w:tr>
      <w:tr w:rsidR="008E450F" w:rsidRPr="00614FE1" w:rsidTr="006A5ED7">
        <w:trPr>
          <w:trHeight w:val="5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0F" w:rsidRPr="00614FE1" w:rsidRDefault="008E450F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614FE1" w:rsidRDefault="008E450F" w:rsidP="008E45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614FE1" w:rsidRDefault="008E450F" w:rsidP="008E45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8E450F" w:rsidRPr="00327F1C" w:rsidTr="008E450F">
        <w:trPr>
          <w:trHeight w:val="6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0F" w:rsidRPr="004F71DA" w:rsidRDefault="008E450F" w:rsidP="006A5ED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96% и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</w:t>
            </w:r>
            <w:r w:rsidRPr="004F71DA"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w:drawing>
                <wp:inline distT="0" distB="0" distL="0" distR="0">
                  <wp:extent cx="147928" cy="352069"/>
                  <wp:effectExtent l="19050" t="0" r="4472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24" cy="3549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50F" w:rsidRPr="00327F1C" w:rsidTr="008E45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молодежной политике Ленинградской области</w:t>
            </w:r>
          </w:p>
        </w:tc>
      </w:tr>
      <w:tr w:rsidR="008E450F" w:rsidRPr="00327F1C" w:rsidTr="008E45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природным ресурсам Ленинградской области</w:t>
            </w:r>
          </w:p>
        </w:tc>
      </w:tr>
      <w:tr w:rsidR="008E450F" w:rsidRPr="00327F1C" w:rsidTr="008E450F">
        <w:trPr>
          <w:trHeight w:val="9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8E450F" w:rsidRPr="00327F1C" w:rsidTr="008E45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социальной защите населения Ленинградской области</w:t>
            </w:r>
          </w:p>
        </w:tc>
      </w:tr>
      <w:tr w:rsidR="008E450F" w:rsidRPr="00327F1C" w:rsidTr="008E45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Ленинградской области по транспорту</w:t>
            </w:r>
          </w:p>
        </w:tc>
      </w:tr>
      <w:tr w:rsidR="008E450F" w:rsidRPr="00327F1C" w:rsidTr="008E45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8E450F" w:rsidRPr="00327F1C" w:rsidTr="008E45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культуре Ленинградской области</w:t>
            </w:r>
          </w:p>
        </w:tc>
      </w:tr>
      <w:tr w:rsidR="008E450F" w:rsidRPr="00327F1C" w:rsidTr="008E45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экономического развития и инвестиционной деятельности</w:t>
            </w:r>
          </w:p>
        </w:tc>
      </w:tr>
      <w:tr w:rsidR="008E450F" w:rsidRPr="00327F1C" w:rsidTr="008E45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агропромышленному и рыбохозяйственному комплексу Ленинградской области</w:t>
            </w:r>
          </w:p>
        </w:tc>
      </w:tr>
      <w:tr w:rsidR="008E450F" w:rsidRPr="00327F1C" w:rsidTr="00B61DFA">
        <w:trPr>
          <w:trHeight w:val="7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0F" w:rsidRPr="004F71DA" w:rsidRDefault="008E450F" w:rsidP="006A5ED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от 90% до 96%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0F" w:rsidRPr="004F71DA" w:rsidRDefault="00B61DFA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50F" w:rsidRPr="004F71DA" w:rsidRDefault="009B6E1C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-393700</wp:posOffset>
                      </wp:positionV>
                      <wp:extent cx="159385" cy="394970"/>
                      <wp:effectExtent l="19050" t="19050" r="12065" b="24130"/>
                      <wp:wrapNone/>
                      <wp:docPr id="1" name="Стрелка ввер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385" cy="39497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3" o:spid="_x0000_s1026" type="#_x0000_t68" style="position:absolute;margin-left:95.95pt;margin-top:-31pt;width:12.55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" adj="4358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8E450F" w:rsidRPr="00327F1C" w:rsidTr="008E45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B61DFA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экономического развития и инвестиционной деятельности</w:t>
            </w:r>
          </w:p>
          <w:p w:rsidR="00B61DFA" w:rsidRPr="004F71DA" w:rsidRDefault="00B61DFA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9B6E1C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-368300</wp:posOffset>
                      </wp:positionV>
                      <wp:extent cx="159385" cy="416560"/>
                      <wp:effectExtent l="19050" t="19050" r="12065" b="21590"/>
                      <wp:wrapNone/>
                      <wp:docPr id="3" name="Стрелка ввер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385" cy="41656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" o:spid="_x0000_s1026" type="#_x0000_t68" style="position:absolute;margin-left:96.55pt;margin-top:-29pt;width:12.55pt;height:3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" adj="413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8E450F" w:rsidRPr="00327F1C" w:rsidTr="008E45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DFA" w:rsidRPr="004F71DA" w:rsidRDefault="00B61DFA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дорожному хозяйству Ленинградской области </w:t>
            </w:r>
          </w:p>
        </w:tc>
      </w:tr>
      <w:tr w:rsidR="008E450F" w:rsidRPr="00327F1C" w:rsidTr="008E45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B61DFA"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общего и профессионального образования Ленинградской области</w:t>
            </w:r>
          </w:p>
          <w:p w:rsidR="00B61DFA" w:rsidRPr="004F71DA" w:rsidRDefault="00B61DFA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B61DFA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</w:t>
            </w:r>
            <w:r w:rsidRPr="004F71DA"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w:drawing>
                <wp:inline distT="0" distB="0" distL="0" distR="0">
                  <wp:extent cx="159026" cy="378483"/>
                  <wp:effectExtent l="19050" t="0" r="0" b="0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99" cy="383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1DFA" w:rsidRPr="004F71DA" w:rsidRDefault="00B61DFA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E450F" w:rsidRPr="00327F1C" w:rsidTr="008E450F">
        <w:trPr>
          <w:trHeight w:val="6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0F" w:rsidRPr="004F71DA" w:rsidRDefault="008E450F" w:rsidP="006A5ED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менее 90%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B61DF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B61DFA" w:rsidRPr="004F71DA" w:rsidRDefault="00B61DFA" w:rsidP="00B61DF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0F" w:rsidRPr="004F71DA" w:rsidRDefault="008E450F" w:rsidP="00B61DF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B61DFA"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</w:tr>
      <w:tr w:rsidR="008E450F" w:rsidRPr="00327F1C" w:rsidTr="00B61DFA">
        <w:trPr>
          <w:trHeight w:val="27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9B6E1C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5080</wp:posOffset>
                      </wp:positionV>
                      <wp:extent cx="104775" cy="304800"/>
                      <wp:effectExtent l="19050" t="19050" r="47625" b="19050"/>
                      <wp:wrapNone/>
                      <wp:docPr id="5" name="Стрелка ввер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3048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5" o:spid="_x0000_s1026" type="#_x0000_t68" style="position:absolute;margin-left:93.7pt;margin-top:.4pt;width:8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" adj="371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B61DFA" w:rsidRPr="004F71DA" w:rsidRDefault="00B61DFA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E450F" w:rsidRPr="00327F1C" w:rsidTr="006A5ED7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жилищно-коммунальному хозяйству Ленинградской области</w:t>
            </w:r>
          </w:p>
        </w:tc>
      </w:tr>
      <w:tr w:rsidR="008E450F" w:rsidRPr="00327F1C" w:rsidTr="006A5ED7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B61DFA">
            <w:pPr>
              <w:rPr>
                <w:sz w:val="22"/>
              </w:rPr>
            </w:pPr>
          </w:p>
          <w:p w:rsidR="00B61DFA" w:rsidRPr="004F71DA" w:rsidRDefault="00B61DFA" w:rsidP="00B61DF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1DA" w:rsidRPr="004F71DA" w:rsidRDefault="004F71DA" w:rsidP="004F71D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физической культуре и спорту Ленинградской области</w:t>
            </w:r>
          </w:p>
        </w:tc>
      </w:tr>
      <w:tr w:rsidR="008E450F" w:rsidRPr="00327F1C" w:rsidTr="006A5ED7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строительству Ленинградской области</w:t>
            </w:r>
          </w:p>
        </w:tc>
      </w:tr>
      <w:tr w:rsidR="008E450F" w:rsidRPr="00327F1C" w:rsidTr="006A5ED7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8E450F" w:rsidRPr="00327F1C" w:rsidTr="006A5ED7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DFA" w:rsidRPr="004F71DA" w:rsidRDefault="00B61DFA" w:rsidP="00B61DF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sz w:val="22"/>
                <w:lang w:eastAsia="ru-RU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noProof/>
                <w:color w:val="FF0000"/>
                <w:sz w:val="22"/>
                <w:lang w:eastAsia="ru-RU"/>
              </w:rPr>
              <w:drawing>
                <wp:inline distT="0" distB="0" distL="0" distR="0">
                  <wp:extent cx="124074" cy="432100"/>
                  <wp:effectExtent l="19050" t="0" r="9276" b="0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5" cy="490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50F" w:rsidRPr="00327F1C" w:rsidTr="006A5ED7">
        <w:trPr>
          <w:trHeight w:val="94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B61DFA"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архитектуре и градостроительству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B61DFA" w:rsidP="006A5E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sz w:val="22"/>
                <w:lang w:eastAsia="ru-RU"/>
              </w:rPr>
              <w:t>Комитет градостроительной политики Ленинградской области</w:t>
            </w:r>
          </w:p>
          <w:p w:rsidR="00B61DFA" w:rsidRPr="004F71DA" w:rsidRDefault="00B61DFA" w:rsidP="006A5E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E450F" w:rsidRPr="00327F1C" w:rsidTr="006A5ED7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B61DFA"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DFA" w:rsidRPr="004F71DA" w:rsidRDefault="00B61DFA" w:rsidP="00B61DF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8E450F" w:rsidRPr="00327F1C" w:rsidTr="006A5ED7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0F" w:rsidRPr="004F71DA" w:rsidRDefault="008E450F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не предусмотрены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0F" w:rsidRPr="004F71DA" w:rsidRDefault="00B61DFA" w:rsidP="006A5ED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71DA">
              <w:rPr>
                <w:sz w:val="22"/>
              </w:rPr>
              <w:t>Управление Ленинградской области по организации и контролю деятельности по обращению с отходами</w:t>
            </w:r>
          </w:p>
        </w:tc>
      </w:tr>
    </w:tbl>
    <w:p w:rsidR="008E450F" w:rsidRDefault="008E450F" w:rsidP="00F00FB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14FE1" w:rsidRPr="00964B6C" w:rsidRDefault="00650BF9" w:rsidP="00B8483E">
      <w:pPr>
        <w:ind w:firstLine="567"/>
        <w:jc w:val="both"/>
      </w:pPr>
      <w:r w:rsidRPr="00964B6C">
        <w:t xml:space="preserve">По итогам проведенного анализа результативности предоставления субсидий в связи с </w:t>
      </w:r>
      <w:proofErr w:type="spellStart"/>
      <w:r w:rsidRPr="00964B6C">
        <w:t>недостижением</w:t>
      </w:r>
      <w:proofErr w:type="spellEnd"/>
      <w:r w:rsidRPr="00964B6C">
        <w:t xml:space="preserve"> муниципальными образованиями целевых показателей результативности </w:t>
      </w:r>
      <w:r w:rsidR="00511182" w:rsidRPr="00964B6C">
        <w:t xml:space="preserve">ГРБС </w:t>
      </w:r>
      <w:r w:rsidR="00614FE1" w:rsidRPr="00964B6C">
        <w:t>производится</w:t>
      </w:r>
      <w:r w:rsidR="00511182" w:rsidRPr="00964B6C">
        <w:t xml:space="preserve"> расчет объема средств, подлежащих возврату в областной бюджет</w:t>
      </w:r>
      <w:r w:rsidRPr="00964B6C">
        <w:t>.</w:t>
      </w:r>
      <w:r w:rsidR="00FC336A" w:rsidRPr="00964B6C">
        <w:t xml:space="preserve"> </w:t>
      </w:r>
    </w:p>
    <w:p w:rsidR="00601CA9" w:rsidRPr="00964B6C" w:rsidRDefault="00FC336A" w:rsidP="00B8483E">
      <w:pPr>
        <w:ind w:firstLine="567"/>
        <w:jc w:val="both"/>
      </w:pPr>
      <w:r w:rsidRPr="00964B6C">
        <w:t>В 201</w:t>
      </w:r>
      <w:r w:rsidR="004F71DA" w:rsidRPr="00964B6C">
        <w:t>9</w:t>
      </w:r>
      <w:r w:rsidRPr="00964B6C">
        <w:t xml:space="preserve"> году объем средств, подлежащих возврату в областной бюджет (далее – штрафы) сократился </w:t>
      </w:r>
      <w:r w:rsidR="00F20687" w:rsidRPr="00964B6C">
        <w:t xml:space="preserve">в </w:t>
      </w:r>
      <w:r w:rsidR="008D09EB" w:rsidRPr="00964B6C">
        <w:t>2</w:t>
      </w:r>
      <w:r w:rsidR="00F20687" w:rsidRPr="00964B6C">
        <w:t xml:space="preserve">,7 </w:t>
      </w:r>
      <w:r w:rsidR="00EB75D8" w:rsidRPr="00964B6C">
        <w:t xml:space="preserve">раза </w:t>
      </w:r>
      <w:r w:rsidRPr="00964B6C">
        <w:t>по отношению к 201</w:t>
      </w:r>
      <w:r w:rsidR="004F71DA" w:rsidRPr="00964B6C">
        <w:t>8</w:t>
      </w:r>
      <w:r w:rsidRPr="00964B6C">
        <w:t xml:space="preserve"> году</w:t>
      </w:r>
      <w:r w:rsidR="00EB75D8" w:rsidRPr="00964B6C">
        <w:t>. Так</w:t>
      </w:r>
      <w:r w:rsidR="00614FE1" w:rsidRPr="00964B6C">
        <w:t>,</w:t>
      </w:r>
      <w:r w:rsidR="00EB75D8" w:rsidRPr="00964B6C">
        <w:t xml:space="preserve"> в 201</w:t>
      </w:r>
      <w:r w:rsidR="004F71DA" w:rsidRPr="00964B6C">
        <w:t>8</w:t>
      </w:r>
      <w:r w:rsidR="00EB75D8" w:rsidRPr="00964B6C">
        <w:t xml:space="preserve"> году штрафы составляли </w:t>
      </w:r>
      <w:r w:rsidR="004F71DA" w:rsidRPr="00964B6C">
        <w:t>32</w:t>
      </w:r>
      <w:r w:rsidR="00614FE1" w:rsidRPr="00964B6C">
        <w:t> </w:t>
      </w:r>
      <w:r w:rsidR="004F71DA" w:rsidRPr="00964B6C">
        <w:t>094,61 тыс.руб</w:t>
      </w:r>
      <w:r w:rsidR="00614FE1" w:rsidRPr="00964B6C">
        <w:t>.</w:t>
      </w:r>
      <w:r w:rsidR="00EB75D8" w:rsidRPr="00964B6C">
        <w:t>, в 201</w:t>
      </w:r>
      <w:r w:rsidR="004F71DA" w:rsidRPr="00964B6C">
        <w:t>9</w:t>
      </w:r>
      <w:r w:rsidR="00EB75D8" w:rsidRPr="00964B6C">
        <w:t xml:space="preserve"> году</w:t>
      </w:r>
      <w:r w:rsidR="00614FE1" w:rsidRPr="00964B6C">
        <w:t xml:space="preserve"> – </w:t>
      </w:r>
      <w:r w:rsidR="004F71DA" w:rsidRPr="00964B6C">
        <w:t>11</w:t>
      </w:r>
      <w:r w:rsidR="00614FE1" w:rsidRPr="00964B6C">
        <w:t> </w:t>
      </w:r>
      <w:r w:rsidR="004F71DA" w:rsidRPr="00964B6C">
        <w:t>855,56</w:t>
      </w:r>
      <w:r w:rsidR="00EB75D8" w:rsidRPr="00964B6C">
        <w:t xml:space="preserve"> тыс.руб.</w:t>
      </w:r>
      <w:r w:rsidR="004F71DA" w:rsidRPr="00964B6C">
        <w:t xml:space="preserve"> </w:t>
      </w:r>
      <w:r w:rsidR="00614FE1" w:rsidRPr="00964B6C">
        <w:t>(справочно: в</w:t>
      </w:r>
      <w:r w:rsidR="004F71DA" w:rsidRPr="00964B6C">
        <w:t xml:space="preserve"> 2017 году </w:t>
      </w:r>
      <w:r w:rsidR="00614FE1" w:rsidRPr="00964B6C">
        <w:t>-</w:t>
      </w:r>
      <w:r w:rsidR="004F71DA" w:rsidRPr="00964B6C">
        <w:t xml:space="preserve"> </w:t>
      </w:r>
      <w:r w:rsidR="008D09EB" w:rsidRPr="00964B6C">
        <w:t>54 535,1 тыс.руб.</w:t>
      </w:r>
      <w:r w:rsidR="00614FE1" w:rsidRPr="00964B6C">
        <w:t>).</w:t>
      </w:r>
    </w:p>
    <w:p w:rsidR="005E46C9" w:rsidRPr="005E46C9" w:rsidRDefault="005E46C9" w:rsidP="005E46C9">
      <w:pPr>
        <w:ind w:firstLine="567"/>
        <w:jc w:val="both"/>
        <w:rPr>
          <w:color w:val="FF0000"/>
        </w:rPr>
      </w:pPr>
    </w:p>
    <w:tbl>
      <w:tblPr>
        <w:tblW w:w="108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1"/>
        <w:gridCol w:w="1284"/>
        <w:gridCol w:w="1937"/>
        <w:gridCol w:w="1559"/>
        <w:gridCol w:w="1418"/>
        <w:gridCol w:w="1559"/>
      </w:tblGrid>
      <w:tr w:rsidR="006B43AF" w:rsidRPr="00A30744" w:rsidTr="006353F9">
        <w:trPr>
          <w:trHeight w:val="1082"/>
          <w:tblHeader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</w:t>
            </w:r>
            <w:r w:rsidR="006C594F" w:rsidRPr="0063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3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ГРБС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Объем штрафов (тыс.руб.)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3AF" w:rsidRPr="00AB1ADF" w:rsidRDefault="006B43AF" w:rsidP="006C594F">
            <w:pPr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AB1ADF">
              <w:rPr>
                <w:rFonts w:eastAsia="Times New Roman" w:cs="Times New Roman"/>
                <w:sz w:val="23"/>
                <w:szCs w:val="23"/>
                <w:lang w:eastAsia="ru-RU"/>
              </w:rPr>
              <w:t>Доля штрафов в общем объеме предоставленных субсидий,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3AF" w:rsidRPr="00AB1ADF" w:rsidRDefault="006B43AF" w:rsidP="006C594F">
            <w:pPr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AB1ADF">
              <w:rPr>
                <w:rFonts w:eastAsia="Times New Roman" w:cs="Times New Roman"/>
                <w:sz w:val="23"/>
                <w:szCs w:val="23"/>
                <w:lang w:eastAsia="ru-RU"/>
              </w:rPr>
              <w:t>Количество начисленных штрафов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3AF" w:rsidRPr="00AB1ADF" w:rsidRDefault="006B43AF" w:rsidP="006C594F">
            <w:pPr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AB1ADF">
              <w:rPr>
                <w:rFonts w:eastAsia="Times New Roman" w:cs="Times New Roman"/>
                <w:sz w:val="23"/>
                <w:szCs w:val="23"/>
                <w:lang w:eastAsia="ru-RU"/>
              </w:rPr>
              <w:t>Количество МО, которым начислены штрафы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3AF" w:rsidRPr="00AB1ADF" w:rsidRDefault="006B43AF" w:rsidP="006C594F">
            <w:pPr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AB1ADF">
              <w:rPr>
                <w:rFonts w:eastAsia="Times New Roman" w:cs="Times New Roman"/>
                <w:sz w:val="23"/>
                <w:szCs w:val="23"/>
                <w:lang w:eastAsia="ru-RU"/>
              </w:rPr>
              <w:t>Количество субсидий, по которым начислены штрафы</w:t>
            </w:r>
          </w:p>
        </w:tc>
      </w:tr>
      <w:tr w:rsidR="006B43AF" w:rsidRPr="006B43AF" w:rsidTr="006353F9">
        <w:trPr>
          <w:trHeight w:val="6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AF" w:rsidRPr="006353F9" w:rsidRDefault="006B43AF" w:rsidP="006B43A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градостроительной политики</w:t>
            </w:r>
            <w:r w:rsidR="00086E20" w:rsidRPr="0063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219,74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43AF" w:rsidRPr="006B43AF" w:rsidTr="006353F9">
        <w:trPr>
          <w:trHeight w:val="97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AF" w:rsidRPr="006353F9" w:rsidRDefault="006B43AF" w:rsidP="006B43A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агропромышленному и рыбохозяйственному комплексу</w:t>
            </w:r>
            <w:r w:rsidR="00086E20" w:rsidRPr="0063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43AF" w:rsidRPr="006B43AF" w:rsidTr="006353F9">
        <w:trPr>
          <w:trHeight w:val="6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AF" w:rsidRPr="006353F9" w:rsidRDefault="006B43AF" w:rsidP="006B43A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дорожному хозяйству</w:t>
            </w:r>
            <w:r w:rsidR="00086E20" w:rsidRPr="0063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1 328,61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7A5F7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7A5F70"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43AF" w:rsidRPr="006B43AF" w:rsidTr="006353F9">
        <w:trPr>
          <w:trHeight w:val="6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AF" w:rsidRPr="006353F9" w:rsidRDefault="006B43AF" w:rsidP="006B43A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жилищно-коммунальному хозяйству</w:t>
            </w:r>
            <w:r w:rsidR="00086E20" w:rsidRPr="0063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2 436,93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7A5F70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43AF" w:rsidRPr="006B43AF" w:rsidTr="006353F9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AF" w:rsidRPr="006353F9" w:rsidRDefault="006B43AF" w:rsidP="006B43A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</w:t>
            </w:r>
            <w:r w:rsidR="00086E20" w:rsidRPr="0063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17,41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43AF" w:rsidRPr="006B43AF" w:rsidTr="006353F9">
        <w:trPr>
          <w:trHeight w:val="6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AF" w:rsidRPr="006353F9" w:rsidRDefault="006B43AF" w:rsidP="006B43A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социальной защите населения</w:t>
            </w:r>
            <w:r w:rsidR="00086E20" w:rsidRPr="0063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43AF" w:rsidRPr="006B43AF" w:rsidTr="006353F9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AF" w:rsidRPr="006353F9" w:rsidRDefault="006B43AF" w:rsidP="006B43A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</w:t>
            </w:r>
            <w:r w:rsidR="00086E20" w:rsidRPr="0063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1 054,98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43AF" w:rsidRPr="006B43AF" w:rsidTr="006353F9">
        <w:trPr>
          <w:trHeight w:val="6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AF" w:rsidRPr="006353F9" w:rsidRDefault="006B43AF" w:rsidP="006B43A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топливно-энергетическому комплексу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1 554,80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43AF" w:rsidRPr="006B43AF" w:rsidTr="006353F9">
        <w:trPr>
          <w:trHeight w:val="6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AF" w:rsidRPr="006353F9" w:rsidRDefault="006B43AF" w:rsidP="006B43A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</w:t>
            </w:r>
            <w:r w:rsidR="00086E20" w:rsidRPr="0063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5 220,57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43AF" w:rsidRPr="006B43AF" w:rsidTr="006353F9">
        <w:trPr>
          <w:trHeight w:val="76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AF" w:rsidRPr="006353F9" w:rsidRDefault="006B43AF" w:rsidP="006B43A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18,77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43AF" w:rsidRPr="006B43AF" w:rsidTr="006353F9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AF" w:rsidRPr="006353F9" w:rsidRDefault="006B43AF" w:rsidP="006B43A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11 855,56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7A5F70" w:rsidP="006C594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AF" w:rsidRPr="006353F9" w:rsidRDefault="006B43AF" w:rsidP="006C594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3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6B43AF" w:rsidRDefault="006B43AF" w:rsidP="00B8483E">
      <w:pPr>
        <w:ind w:firstLine="567"/>
        <w:jc w:val="both"/>
      </w:pPr>
    </w:p>
    <w:p w:rsidR="006C594F" w:rsidRPr="00964B6C" w:rsidRDefault="00482F28" w:rsidP="00B8483E">
      <w:pPr>
        <w:ind w:firstLine="567"/>
        <w:jc w:val="both"/>
      </w:pPr>
      <w:proofErr w:type="gramStart"/>
      <w:r w:rsidRPr="00964B6C">
        <w:t xml:space="preserve">По количеству начисленных штрафов в связи с </w:t>
      </w:r>
      <w:proofErr w:type="spellStart"/>
      <w:r w:rsidRPr="00964B6C">
        <w:t>недостижением</w:t>
      </w:r>
      <w:proofErr w:type="spellEnd"/>
      <w:r w:rsidRPr="00964B6C">
        <w:t xml:space="preserve"> целевых показателей результативности </w:t>
      </w:r>
      <w:r w:rsidR="006C594F" w:rsidRPr="00964B6C">
        <w:t xml:space="preserve">«лидируют» </w:t>
      </w:r>
      <w:r w:rsidRPr="00964B6C">
        <w:t>комитет по дорожному хозяйству Ленинградской области (</w:t>
      </w:r>
      <w:r w:rsidR="006C594F" w:rsidRPr="00964B6C">
        <w:t>12 муниципальным образованиям начислен</w:t>
      </w:r>
      <w:r w:rsidR="005E46C9" w:rsidRPr="00964B6C">
        <w:t>ы</w:t>
      </w:r>
      <w:r w:rsidR="006C594F" w:rsidRPr="00964B6C">
        <w:t xml:space="preserve"> штрафы</w:t>
      </w:r>
      <w:r w:rsidR="00A30744" w:rsidRPr="00964B6C">
        <w:t xml:space="preserve"> в размере</w:t>
      </w:r>
      <w:r w:rsidR="006C594F" w:rsidRPr="00964B6C">
        <w:t xml:space="preserve"> 0,12</w:t>
      </w:r>
      <w:r w:rsidRPr="00964B6C">
        <w:t>% объёма фактически израсходованных средств)</w:t>
      </w:r>
      <w:r w:rsidR="006C594F" w:rsidRPr="00964B6C">
        <w:t xml:space="preserve">, комитет по жилищно-коммунальному хозяйству </w:t>
      </w:r>
      <w:r w:rsidR="00086E20" w:rsidRPr="00964B6C">
        <w:t xml:space="preserve">Ленинградской области </w:t>
      </w:r>
      <w:r w:rsidR="006C594F" w:rsidRPr="00964B6C">
        <w:t>(8 муниципальным образованиям начислен</w:t>
      </w:r>
      <w:r w:rsidR="00A30744" w:rsidRPr="00964B6C">
        <w:t>ы штрафы в размере</w:t>
      </w:r>
      <w:r w:rsidR="006C594F" w:rsidRPr="00964B6C">
        <w:t xml:space="preserve"> 0,14% объёма фактически израсходованных средств) и комитет по топливно-энергетическому комплексу</w:t>
      </w:r>
      <w:r w:rsidR="00086E20" w:rsidRPr="00964B6C">
        <w:t xml:space="preserve"> Ленинградской области</w:t>
      </w:r>
      <w:r w:rsidR="006C594F" w:rsidRPr="00964B6C">
        <w:t xml:space="preserve"> (7 муниципальным образованиям 0,12% объёма</w:t>
      </w:r>
      <w:proofErr w:type="gramEnd"/>
      <w:r w:rsidR="006C594F" w:rsidRPr="00964B6C">
        <w:t xml:space="preserve"> фактически израсходованных средств</w:t>
      </w:r>
      <w:r w:rsidR="00A30744" w:rsidRPr="00964B6C">
        <w:t xml:space="preserve"> начислены штрафы в размере</w:t>
      </w:r>
      <w:r w:rsidR="006C594F" w:rsidRPr="00964B6C">
        <w:t xml:space="preserve">), по объему </w:t>
      </w:r>
      <w:r w:rsidR="00086E20" w:rsidRPr="00964B6C">
        <w:t>начисленных штрафов «лидируют» комитет по физической культуре и спорту Ленинградской области (2,85% объёма фактически израсходованных средств) и комитет градостроительной политики Ленинградской области (0,58% объёма фактически израсходованных средств).</w:t>
      </w:r>
    </w:p>
    <w:p w:rsidR="00A71863" w:rsidRPr="00964B6C" w:rsidRDefault="000262F5" w:rsidP="00876889">
      <w:pPr>
        <w:ind w:firstLine="567"/>
        <w:jc w:val="both"/>
      </w:pPr>
      <w:proofErr w:type="gramStart"/>
      <w:r w:rsidRPr="00964B6C">
        <w:t xml:space="preserve">По субсидиям </w:t>
      </w:r>
      <w:r w:rsidR="00876889" w:rsidRPr="00964B6C">
        <w:t>6</w:t>
      </w:r>
      <w:r w:rsidRPr="00964B6C">
        <w:t xml:space="preserve"> ГРБС (</w:t>
      </w:r>
      <w:r w:rsidR="00876889" w:rsidRPr="00964B6C">
        <w:t>управлени</w:t>
      </w:r>
      <w:r w:rsidR="00A30744" w:rsidRPr="00964B6C">
        <w:t>е</w:t>
      </w:r>
      <w:r w:rsidR="00876889" w:rsidRPr="00964B6C">
        <w:t xml:space="preserve"> Ленинградской области по организации и контролю деятельности по </w:t>
      </w:r>
      <w:r w:rsidR="00A30744" w:rsidRPr="00964B6C">
        <w:t>обращению с отходами, управление</w:t>
      </w:r>
      <w:r w:rsidR="00876889" w:rsidRPr="00964B6C">
        <w:t xml:space="preserve"> Ленинградской области по транспорту, </w:t>
      </w:r>
      <w:r w:rsidR="00876889" w:rsidRPr="00964B6C">
        <w:rPr>
          <w:rFonts w:eastAsia="Times New Roman" w:cs="Times New Roman"/>
          <w:szCs w:val="28"/>
          <w:lang w:eastAsia="ru-RU"/>
        </w:rPr>
        <w:t>к</w:t>
      </w:r>
      <w:r w:rsidR="00876889" w:rsidRPr="00964B6C">
        <w:t>омитет по природным ресурсам Ленинградской области, комитет экономического развития и инвестиционной деятельности Ленинградской области,  комитет по развитию малого, среднего бизнеса и потребительского рынка Ленинградской области,</w:t>
      </w:r>
      <w:r w:rsidR="007A6889" w:rsidRPr="00964B6C">
        <w:t xml:space="preserve"> </w:t>
      </w:r>
      <w:r w:rsidR="007A6889" w:rsidRPr="00964B6C">
        <w:rPr>
          <w:rFonts w:eastAsia="Times New Roman" w:cs="Times New Roman"/>
          <w:szCs w:val="28"/>
          <w:lang w:eastAsia="ru-RU"/>
        </w:rPr>
        <w:t>комитет по молодежной политике Ленинградской области</w:t>
      </w:r>
      <w:r w:rsidR="007A6889" w:rsidRPr="00964B6C">
        <w:t xml:space="preserve">) </w:t>
      </w:r>
      <w:r w:rsidRPr="00964B6C">
        <w:t>все целевые показатели результативности муниципальными образованиями выполнены.</w:t>
      </w:r>
      <w:proofErr w:type="gramEnd"/>
    </w:p>
    <w:p w:rsidR="00A30744" w:rsidRDefault="00482F28" w:rsidP="00B8483E">
      <w:pPr>
        <w:ind w:firstLine="567"/>
        <w:jc w:val="both"/>
      </w:pPr>
      <w:r w:rsidRPr="00964B6C">
        <w:t>По количеству до</w:t>
      </w:r>
      <w:r w:rsidR="000740D8" w:rsidRPr="00964B6C">
        <w:t>стигнуты</w:t>
      </w:r>
      <w:r w:rsidR="00E0552E" w:rsidRPr="00964B6C">
        <w:t>х</w:t>
      </w:r>
      <w:r w:rsidR="000740D8" w:rsidRPr="00964B6C">
        <w:t xml:space="preserve"> муниципальными образованиями </w:t>
      </w:r>
      <w:r w:rsidRPr="00964B6C">
        <w:t>целевых показателей результативности</w:t>
      </w:r>
      <w:r w:rsidR="000740D8" w:rsidRPr="00964B6C">
        <w:t xml:space="preserve"> информация в </w:t>
      </w:r>
      <w:r w:rsidRPr="00964B6C">
        <w:t>разрезе ГРБС следующая:</w:t>
      </w:r>
    </w:p>
    <w:p w:rsidR="00B338E0" w:rsidRPr="00964B6C" w:rsidRDefault="00B338E0" w:rsidP="00B8483E">
      <w:pPr>
        <w:ind w:firstLine="567"/>
        <w:jc w:val="both"/>
      </w:pPr>
    </w:p>
    <w:p w:rsidR="00964B6C" w:rsidRPr="00876889" w:rsidRDefault="00964B6C" w:rsidP="00B8483E">
      <w:pPr>
        <w:ind w:firstLine="567"/>
        <w:jc w:val="both"/>
      </w:pPr>
    </w:p>
    <w:tbl>
      <w:tblPr>
        <w:tblW w:w="10915" w:type="dxa"/>
        <w:tblInd w:w="-318" w:type="dxa"/>
        <w:tblLook w:val="04A0" w:firstRow="1" w:lastRow="0" w:firstColumn="1" w:lastColumn="0" w:noHBand="0" w:noVBand="1"/>
      </w:tblPr>
      <w:tblGrid>
        <w:gridCol w:w="6804"/>
        <w:gridCol w:w="4111"/>
      </w:tblGrid>
      <w:tr w:rsidR="00876889" w:rsidRPr="00A30744" w:rsidTr="00A30744">
        <w:trPr>
          <w:trHeight w:val="6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889" w:rsidRPr="00AB1ADF" w:rsidRDefault="00876889" w:rsidP="00876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89" w:rsidRPr="00AB1ADF" w:rsidRDefault="00876889" w:rsidP="00876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целевых показателей результативности предоставления субсидии, достигнутых в 2019 году, %</w:t>
            </w:r>
          </w:p>
        </w:tc>
      </w:tr>
      <w:tr w:rsidR="00876889" w:rsidRPr="00876889" w:rsidTr="00876889">
        <w:trPr>
          <w:trHeight w:val="61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89" w:rsidRPr="00AB1ADF" w:rsidRDefault="00876889" w:rsidP="008768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89" w:rsidRPr="00AB1ADF" w:rsidRDefault="00876889" w:rsidP="00876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76889" w:rsidRPr="00876889" w:rsidTr="00876889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89" w:rsidRPr="00AB1ADF" w:rsidRDefault="00876889" w:rsidP="008768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89" w:rsidRPr="00AB1ADF" w:rsidRDefault="00876889" w:rsidP="00876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76889" w:rsidRPr="00876889" w:rsidTr="00876889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89" w:rsidRPr="00AB1ADF" w:rsidRDefault="00876889" w:rsidP="008768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89" w:rsidRPr="00AB1ADF" w:rsidRDefault="00876889" w:rsidP="00876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76889" w:rsidRPr="00876889" w:rsidTr="00876889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89" w:rsidRPr="00AB1ADF" w:rsidRDefault="00876889" w:rsidP="008768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89" w:rsidRPr="00AB1ADF" w:rsidRDefault="00876889" w:rsidP="00876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76889" w:rsidRPr="00876889" w:rsidTr="00876889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89" w:rsidRPr="00AB1ADF" w:rsidRDefault="00876889" w:rsidP="008768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89" w:rsidRPr="00AB1ADF" w:rsidRDefault="00876889" w:rsidP="00876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76889" w:rsidRPr="00876889" w:rsidTr="00876889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89" w:rsidRPr="00AB1ADF" w:rsidRDefault="00876889" w:rsidP="008768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89" w:rsidRPr="00AB1ADF" w:rsidRDefault="00876889" w:rsidP="00876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76889" w:rsidRPr="00876889" w:rsidTr="00876889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89" w:rsidRPr="00AB1ADF" w:rsidRDefault="00876889" w:rsidP="008768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89" w:rsidRPr="00AB1ADF" w:rsidRDefault="00876889" w:rsidP="00876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99,67</w:t>
            </w:r>
          </w:p>
        </w:tc>
      </w:tr>
      <w:tr w:rsidR="00876889" w:rsidRPr="00876889" w:rsidTr="00876889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89" w:rsidRPr="00AB1ADF" w:rsidRDefault="00876889" w:rsidP="008768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89" w:rsidRPr="00AB1ADF" w:rsidRDefault="00876889" w:rsidP="00876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99,31</w:t>
            </w:r>
          </w:p>
        </w:tc>
      </w:tr>
      <w:tr w:rsidR="00876889" w:rsidRPr="00876889" w:rsidTr="00876889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89" w:rsidRPr="00AB1ADF" w:rsidRDefault="00876889" w:rsidP="008768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89" w:rsidRPr="00AB1ADF" w:rsidRDefault="00876889" w:rsidP="00876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99,19</w:t>
            </w:r>
          </w:p>
        </w:tc>
      </w:tr>
      <w:tr w:rsidR="00876889" w:rsidRPr="00876889" w:rsidTr="00876889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89" w:rsidRPr="00AB1ADF" w:rsidRDefault="00876889" w:rsidP="008768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89" w:rsidRPr="00AB1ADF" w:rsidRDefault="00876889" w:rsidP="00876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97,34</w:t>
            </w:r>
          </w:p>
        </w:tc>
      </w:tr>
      <w:tr w:rsidR="00876889" w:rsidRPr="00876889" w:rsidTr="00876889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89" w:rsidRPr="00AB1ADF" w:rsidRDefault="00876889" w:rsidP="008768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89" w:rsidRPr="00AB1ADF" w:rsidRDefault="00876889" w:rsidP="00876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95,15</w:t>
            </w:r>
          </w:p>
        </w:tc>
      </w:tr>
      <w:tr w:rsidR="00876889" w:rsidRPr="00876889" w:rsidTr="00876889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89" w:rsidRPr="00AB1ADF" w:rsidRDefault="00876889" w:rsidP="008768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89" w:rsidRPr="00AB1ADF" w:rsidRDefault="00876889" w:rsidP="00876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94,59</w:t>
            </w:r>
          </w:p>
        </w:tc>
      </w:tr>
      <w:tr w:rsidR="00876889" w:rsidRPr="00876889" w:rsidTr="00876889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89" w:rsidRPr="00AB1ADF" w:rsidRDefault="00876889" w:rsidP="008768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89" w:rsidRPr="00AB1ADF" w:rsidRDefault="00876889" w:rsidP="00876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94,44</w:t>
            </w:r>
          </w:p>
        </w:tc>
      </w:tr>
      <w:tr w:rsidR="00876889" w:rsidRPr="00876889" w:rsidTr="00876889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89" w:rsidRPr="00AB1ADF" w:rsidRDefault="00876889" w:rsidP="008768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89" w:rsidRPr="00AB1ADF" w:rsidRDefault="00876889" w:rsidP="00876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92,34</w:t>
            </w:r>
          </w:p>
        </w:tc>
      </w:tr>
      <w:tr w:rsidR="00876889" w:rsidRPr="00876889" w:rsidTr="00876889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89" w:rsidRPr="00AB1ADF" w:rsidRDefault="00876889" w:rsidP="008768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89" w:rsidRPr="00AB1ADF" w:rsidRDefault="00876889" w:rsidP="00876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87,43</w:t>
            </w:r>
          </w:p>
        </w:tc>
      </w:tr>
      <w:tr w:rsidR="00876889" w:rsidRPr="00876889" w:rsidTr="00876889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89" w:rsidRPr="00AB1ADF" w:rsidRDefault="00876889" w:rsidP="008768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градостроительной политики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89" w:rsidRPr="00AB1ADF" w:rsidRDefault="00876889" w:rsidP="00876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</w:tr>
      <w:tr w:rsidR="00876889" w:rsidRPr="00876889" w:rsidTr="00876889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89" w:rsidRPr="00AB1ADF" w:rsidRDefault="00876889" w:rsidP="008768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89" w:rsidRPr="00AB1ADF" w:rsidRDefault="00876889" w:rsidP="00876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70,83</w:t>
            </w:r>
          </w:p>
        </w:tc>
      </w:tr>
      <w:tr w:rsidR="00876889" w:rsidRPr="00876889" w:rsidTr="00876889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889" w:rsidRPr="00AB1ADF" w:rsidRDefault="00876889" w:rsidP="008768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89" w:rsidRPr="00AB1ADF" w:rsidRDefault="00876889" w:rsidP="008768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62,50</w:t>
            </w:r>
          </w:p>
        </w:tc>
      </w:tr>
    </w:tbl>
    <w:p w:rsidR="00876889" w:rsidRDefault="00876889" w:rsidP="00B8483E">
      <w:pPr>
        <w:ind w:firstLine="567"/>
        <w:jc w:val="both"/>
        <w:rPr>
          <w:highlight w:val="yellow"/>
        </w:rPr>
      </w:pPr>
    </w:p>
    <w:p w:rsidR="009354EE" w:rsidRDefault="00170341" w:rsidP="00B8483E">
      <w:pPr>
        <w:ind w:firstLine="567"/>
        <w:jc w:val="both"/>
      </w:pPr>
      <w:r w:rsidRPr="009107A4">
        <w:rPr>
          <w:szCs w:val="28"/>
        </w:rPr>
        <w:t xml:space="preserve">В разрезе территорий муниципальных районов и городского округа </w:t>
      </w:r>
      <w:r w:rsidRPr="009107A4">
        <w:t xml:space="preserve">штрафы в связи с </w:t>
      </w:r>
      <w:proofErr w:type="spellStart"/>
      <w:r w:rsidRPr="009107A4">
        <w:t>недостижением</w:t>
      </w:r>
      <w:proofErr w:type="spellEnd"/>
      <w:r w:rsidRPr="009107A4">
        <w:t xml:space="preserve"> целевых показателей результативности начислены:</w:t>
      </w:r>
    </w:p>
    <w:p w:rsidR="00A30744" w:rsidRDefault="00A30744" w:rsidP="00B8483E">
      <w:pPr>
        <w:ind w:firstLine="567"/>
        <w:jc w:val="both"/>
      </w:pPr>
    </w:p>
    <w:tbl>
      <w:tblPr>
        <w:tblW w:w="10435" w:type="dxa"/>
        <w:tblInd w:w="94" w:type="dxa"/>
        <w:tblLook w:val="04A0" w:firstRow="1" w:lastRow="0" w:firstColumn="1" w:lastColumn="0" w:noHBand="0" w:noVBand="1"/>
      </w:tblPr>
      <w:tblGrid>
        <w:gridCol w:w="4266"/>
        <w:gridCol w:w="1844"/>
        <w:gridCol w:w="1317"/>
        <w:gridCol w:w="1487"/>
        <w:gridCol w:w="1521"/>
      </w:tblGrid>
      <w:tr w:rsidR="007E7342" w:rsidRPr="007E7342" w:rsidTr="00B338E0">
        <w:trPr>
          <w:trHeight w:val="1500"/>
          <w:tblHeader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муниципальных образований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МО, которым начислены штрафы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Начисленные штрафы, тыс. руб.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Доля в общем объеме начисленных штрафов, %</w:t>
            </w:r>
          </w:p>
        </w:tc>
      </w:tr>
      <w:tr w:rsidR="007E7342" w:rsidRPr="007E7342" w:rsidTr="00B338E0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2" w:rsidRPr="007E7342" w:rsidRDefault="007E7342" w:rsidP="007E734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Гатчинский  муниципальный район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7E7342" w:rsidRPr="007E7342" w:rsidTr="00B338E0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2" w:rsidRPr="007E7342" w:rsidRDefault="007E7342" w:rsidP="007E734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Тихвинский  муниципальный район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7E7342" w:rsidRPr="007E7342" w:rsidTr="00B338E0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2" w:rsidRPr="007E7342" w:rsidRDefault="007E7342" w:rsidP="007E734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Киришский муниципальный  район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0,89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0,01</w:t>
            </w:r>
          </w:p>
        </w:tc>
      </w:tr>
      <w:tr w:rsidR="007E7342" w:rsidRPr="007E7342" w:rsidTr="00B338E0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2" w:rsidRPr="007E7342" w:rsidRDefault="007E7342" w:rsidP="007E734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Сланцевский  муниципальный район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1,29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0,01</w:t>
            </w:r>
          </w:p>
        </w:tc>
      </w:tr>
      <w:tr w:rsidR="007E7342" w:rsidRPr="007E7342" w:rsidTr="00B338E0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2" w:rsidRPr="007E7342" w:rsidRDefault="007E7342" w:rsidP="007E734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Волховский  муниципальный район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4,70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0,04</w:t>
            </w:r>
          </w:p>
        </w:tc>
      </w:tr>
      <w:tr w:rsidR="007E7342" w:rsidRPr="007E7342" w:rsidTr="00B338E0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2" w:rsidRPr="007E7342" w:rsidRDefault="007E7342" w:rsidP="007E734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Приозерский  муниципальный район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15,36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0,13</w:t>
            </w:r>
          </w:p>
        </w:tc>
      </w:tr>
      <w:tr w:rsidR="007E7342" w:rsidRPr="007E7342" w:rsidTr="00B338E0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2" w:rsidRPr="007E7342" w:rsidRDefault="007E7342" w:rsidP="007E734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Подпорожский  муниципальный район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61,59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0,52</w:t>
            </w:r>
          </w:p>
        </w:tc>
      </w:tr>
      <w:tr w:rsidR="007E7342" w:rsidRPr="007E7342" w:rsidTr="00B338E0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2" w:rsidRPr="007E7342" w:rsidRDefault="007E7342" w:rsidP="007E734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Ломоносовский  муниципальный район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62,13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0,52</w:t>
            </w:r>
          </w:p>
        </w:tc>
      </w:tr>
      <w:tr w:rsidR="007E7342" w:rsidRPr="007E7342" w:rsidTr="00B338E0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2" w:rsidRPr="007E7342" w:rsidRDefault="007E7342" w:rsidP="007E734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Всеволожский  муниципальный район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203,81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1,72</w:t>
            </w:r>
          </w:p>
        </w:tc>
      </w:tr>
      <w:tr w:rsidR="007E7342" w:rsidRPr="007E7342" w:rsidTr="00B338E0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2" w:rsidRPr="007E7342" w:rsidRDefault="007E7342" w:rsidP="007E734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Тосненский район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287,88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2,43</w:t>
            </w:r>
          </w:p>
        </w:tc>
      </w:tr>
      <w:tr w:rsidR="007E7342" w:rsidRPr="007E7342" w:rsidTr="00B338E0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2" w:rsidRPr="007E7342" w:rsidRDefault="007E7342" w:rsidP="007E734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Лужский  муниципальный район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464,00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3,91</w:t>
            </w:r>
          </w:p>
        </w:tc>
      </w:tr>
      <w:tr w:rsidR="007E7342" w:rsidRPr="007E7342" w:rsidTr="00B338E0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2" w:rsidRPr="007E7342" w:rsidRDefault="007E7342" w:rsidP="007E734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Лодейнопольский  муниципальный район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630,33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5,32</w:t>
            </w:r>
          </w:p>
        </w:tc>
      </w:tr>
      <w:tr w:rsidR="007E7342" w:rsidRPr="007E7342" w:rsidTr="00B338E0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2" w:rsidRPr="007E7342" w:rsidRDefault="007E7342" w:rsidP="007E734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Волосовский  муниципальный район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820,45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6,92</w:t>
            </w:r>
          </w:p>
        </w:tc>
      </w:tr>
      <w:tr w:rsidR="007E7342" w:rsidRPr="007E7342" w:rsidTr="00B338E0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2" w:rsidRPr="007E7342" w:rsidRDefault="007E7342" w:rsidP="007E734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Сосновоборский городской округ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871,70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7,35</w:t>
            </w:r>
          </w:p>
        </w:tc>
      </w:tr>
      <w:tr w:rsidR="007E7342" w:rsidRPr="007E7342" w:rsidTr="00B338E0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2" w:rsidRPr="007E7342" w:rsidRDefault="007E7342" w:rsidP="007E734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Выборгский район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931,04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7,85</w:t>
            </w:r>
          </w:p>
        </w:tc>
      </w:tr>
      <w:tr w:rsidR="007E7342" w:rsidRPr="007E7342" w:rsidTr="00B338E0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2" w:rsidRPr="007E7342" w:rsidRDefault="007E7342" w:rsidP="007E734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Кировский  муниципальный район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953,91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8,05</w:t>
            </w:r>
          </w:p>
        </w:tc>
      </w:tr>
      <w:tr w:rsidR="007E7342" w:rsidRPr="007E7342" w:rsidTr="00B338E0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2" w:rsidRPr="007E7342" w:rsidRDefault="007E7342" w:rsidP="007E734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Кингисеппский  муниципальный район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1 592,21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13,43</w:t>
            </w:r>
          </w:p>
        </w:tc>
      </w:tr>
      <w:tr w:rsidR="007E7342" w:rsidRPr="007E7342" w:rsidTr="00B338E0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2" w:rsidRPr="007E7342" w:rsidRDefault="007E7342" w:rsidP="007E734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Бокситогорский муниципальный район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4 954,26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41,79</w:t>
            </w:r>
          </w:p>
        </w:tc>
      </w:tr>
      <w:tr w:rsidR="007E7342" w:rsidRPr="007E7342" w:rsidTr="00B338E0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42" w:rsidRPr="007E7342" w:rsidRDefault="007E7342" w:rsidP="007E734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итог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E73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E73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E73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11 855,56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42" w:rsidRPr="007E7342" w:rsidRDefault="007E7342" w:rsidP="007E73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7342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</w:tr>
    </w:tbl>
    <w:p w:rsidR="009107A4" w:rsidRPr="00964B6C" w:rsidRDefault="009107A4" w:rsidP="00B8483E">
      <w:pPr>
        <w:ind w:firstLine="567"/>
        <w:jc w:val="both"/>
        <w:rPr>
          <w:highlight w:val="yellow"/>
        </w:rPr>
      </w:pPr>
    </w:p>
    <w:p w:rsidR="003B006B" w:rsidRPr="00964B6C" w:rsidRDefault="000740D8" w:rsidP="00482F28">
      <w:pPr>
        <w:ind w:firstLine="567"/>
        <w:jc w:val="both"/>
      </w:pPr>
      <w:proofErr w:type="gramStart"/>
      <w:r w:rsidRPr="00964B6C">
        <w:t>Следует отметить, что в</w:t>
      </w:r>
      <w:r w:rsidR="00482F28" w:rsidRPr="00964B6C">
        <w:t xml:space="preserve"> 201</w:t>
      </w:r>
      <w:r w:rsidR="007E7342" w:rsidRPr="00964B6C">
        <w:t>9</w:t>
      </w:r>
      <w:r w:rsidR="00482F28" w:rsidRPr="00964B6C">
        <w:t xml:space="preserve"> году </w:t>
      </w:r>
      <w:r w:rsidR="00075654" w:rsidRPr="00964B6C">
        <w:t xml:space="preserve">только </w:t>
      </w:r>
      <w:r w:rsidR="00482F28" w:rsidRPr="00964B6C">
        <w:t xml:space="preserve">в </w:t>
      </w:r>
      <w:r w:rsidR="007E7342" w:rsidRPr="00964B6C">
        <w:t>2</w:t>
      </w:r>
      <w:r w:rsidR="00482F28" w:rsidRPr="00964B6C">
        <w:t xml:space="preserve"> </w:t>
      </w:r>
      <w:r w:rsidR="00075654" w:rsidRPr="00964B6C">
        <w:t xml:space="preserve">муниципальных </w:t>
      </w:r>
      <w:r w:rsidR="00482F28" w:rsidRPr="00964B6C">
        <w:t xml:space="preserve">районах </w:t>
      </w:r>
      <w:r w:rsidR="00075654" w:rsidRPr="00964B6C">
        <w:t>(</w:t>
      </w:r>
      <w:r w:rsidR="007E7342" w:rsidRPr="00964B6C">
        <w:t>Гатчинском</w:t>
      </w:r>
      <w:r w:rsidR="00482F28" w:rsidRPr="00964B6C">
        <w:t xml:space="preserve"> </w:t>
      </w:r>
      <w:r w:rsidR="00075654" w:rsidRPr="00964B6C">
        <w:t>и Тихвинском)</w:t>
      </w:r>
      <w:r w:rsidR="00482F28" w:rsidRPr="00964B6C">
        <w:t xml:space="preserve"> целевые показатели результативности предоставления субсидий достигнуты </w:t>
      </w:r>
      <w:r w:rsidR="00075654" w:rsidRPr="00964B6C">
        <w:t>всеми муниципальными образованиями</w:t>
      </w:r>
      <w:r w:rsidR="00482F28" w:rsidRPr="00964B6C">
        <w:t xml:space="preserve"> (в</w:t>
      </w:r>
      <w:r w:rsidR="0025494A" w:rsidRPr="00964B6C">
        <w:t xml:space="preserve"> 201</w:t>
      </w:r>
      <w:r w:rsidR="007E7342" w:rsidRPr="00964B6C">
        <w:t>8</w:t>
      </w:r>
      <w:r w:rsidR="0025494A" w:rsidRPr="00964B6C">
        <w:t xml:space="preserve"> году </w:t>
      </w:r>
      <w:r w:rsidR="007E7342" w:rsidRPr="00964B6C">
        <w:t xml:space="preserve">в 3 </w:t>
      </w:r>
      <w:r w:rsidR="00075654" w:rsidRPr="00964B6C">
        <w:t>муниципальных района</w:t>
      </w:r>
      <w:r w:rsidR="00200590">
        <w:t>х</w:t>
      </w:r>
      <w:r w:rsidR="00075654" w:rsidRPr="00964B6C">
        <w:t>:</w:t>
      </w:r>
      <w:proofErr w:type="gramEnd"/>
      <w:r w:rsidR="00075654" w:rsidRPr="00964B6C">
        <w:t xml:space="preserve"> </w:t>
      </w:r>
      <w:proofErr w:type="spellStart"/>
      <w:proofErr w:type="gramStart"/>
      <w:r w:rsidR="00075654" w:rsidRPr="00964B6C">
        <w:t>Волховском</w:t>
      </w:r>
      <w:proofErr w:type="spellEnd"/>
      <w:r w:rsidR="007E7342" w:rsidRPr="00964B6C">
        <w:t xml:space="preserve">, </w:t>
      </w:r>
      <w:proofErr w:type="spellStart"/>
      <w:r w:rsidR="007E7342" w:rsidRPr="00964B6C">
        <w:t>Сланцевском</w:t>
      </w:r>
      <w:proofErr w:type="spellEnd"/>
      <w:r w:rsidR="007E7342" w:rsidRPr="00964B6C">
        <w:t>, Тихвинском</w:t>
      </w:r>
      <w:r w:rsidR="00482F28" w:rsidRPr="00964B6C">
        <w:t>)</w:t>
      </w:r>
      <w:r w:rsidR="00075654" w:rsidRPr="00964B6C">
        <w:t>.</w:t>
      </w:r>
      <w:proofErr w:type="gramEnd"/>
    </w:p>
    <w:p w:rsidR="00D86492" w:rsidRPr="00964B6C" w:rsidRDefault="00D86492" w:rsidP="003B006B">
      <w:pPr>
        <w:ind w:firstLine="567"/>
        <w:jc w:val="both"/>
      </w:pPr>
      <w:r w:rsidRPr="00964B6C">
        <w:t xml:space="preserve">Наибольшая сумма штрафов сложилась </w:t>
      </w:r>
      <w:proofErr w:type="gramStart"/>
      <w:r w:rsidRPr="00964B6C">
        <w:t>в</w:t>
      </w:r>
      <w:proofErr w:type="gramEnd"/>
      <w:r w:rsidRPr="00964B6C">
        <w:t xml:space="preserve"> </w:t>
      </w:r>
      <w:proofErr w:type="gramStart"/>
      <w:r w:rsidR="007E7342" w:rsidRPr="00964B6C">
        <w:t>Бокситогорском</w:t>
      </w:r>
      <w:proofErr w:type="gramEnd"/>
      <w:r w:rsidRPr="00964B6C">
        <w:t xml:space="preserve"> муниципальн</w:t>
      </w:r>
      <w:r w:rsidR="007E7342" w:rsidRPr="00964B6C">
        <w:t>ом</w:t>
      </w:r>
      <w:r w:rsidRPr="00964B6C">
        <w:t xml:space="preserve"> район</w:t>
      </w:r>
      <w:r w:rsidR="007E7342" w:rsidRPr="00964B6C">
        <w:t>е</w:t>
      </w:r>
      <w:r w:rsidR="00075654" w:rsidRPr="00964B6C">
        <w:t xml:space="preserve"> (</w:t>
      </w:r>
      <w:r w:rsidR="00444C4E" w:rsidRPr="00964B6C">
        <w:t>41,79</w:t>
      </w:r>
      <w:r w:rsidR="00075654" w:rsidRPr="00964B6C">
        <w:t>% от общей суммы)</w:t>
      </w:r>
      <w:r w:rsidRPr="00964B6C">
        <w:t>.</w:t>
      </w:r>
    </w:p>
    <w:p w:rsidR="0055642B" w:rsidRPr="00964B6C" w:rsidRDefault="0025494A" w:rsidP="003B006B">
      <w:pPr>
        <w:ind w:firstLine="567"/>
        <w:jc w:val="both"/>
      </w:pPr>
      <w:r w:rsidRPr="00964B6C">
        <w:t>По итогам рассмотрения заключений ГРБС о причинах недостижения и о целесообразности продления срока достижения значений целевых показателей результативности</w:t>
      </w:r>
      <w:r w:rsidR="00075654" w:rsidRPr="00964B6C">
        <w:t xml:space="preserve"> за 2019 год документы, подтверждающие обстоятельства непреодолимой силы, препятствующие достижению значений целевых показателей результативности, </w:t>
      </w:r>
      <w:r w:rsidR="00482F28" w:rsidRPr="00964B6C">
        <w:t xml:space="preserve">в </w:t>
      </w:r>
      <w:r w:rsidR="00635F1A" w:rsidRPr="00964B6C">
        <w:t>комитет</w:t>
      </w:r>
      <w:r w:rsidR="00075654" w:rsidRPr="00964B6C">
        <w:t xml:space="preserve"> </w:t>
      </w:r>
      <w:r w:rsidR="00635F1A" w:rsidRPr="00964B6C">
        <w:t>финансов не</w:t>
      </w:r>
      <w:r w:rsidR="00482F28" w:rsidRPr="00964B6C">
        <w:t xml:space="preserve"> предоставлялись</w:t>
      </w:r>
      <w:r w:rsidR="00635F1A" w:rsidRPr="00964B6C">
        <w:t xml:space="preserve">, в </w:t>
      </w:r>
      <w:proofErr w:type="gramStart"/>
      <w:r w:rsidR="00635F1A" w:rsidRPr="00964B6C">
        <w:t>связи</w:t>
      </w:r>
      <w:proofErr w:type="gramEnd"/>
      <w:r w:rsidR="00635F1A" w:rsidRPr="00964B6C">
        <w:t xml:space="preserve"> с чем </w:t>
      </w:r>
      <w:r w:rsidR="0055642B" w:rsidRPr="00964B6C">
        <w:rPr>
          <w:rFonts w:cs="Times New Roman"/>
          <w:szCs w:val="28"/>
        </w:rPr>
        <w:t>правовой акт Правительства Ленинградской области об освобождении муниципального образования от мер ответственности</w:t>
      </w:r>
      <w:r w:rsidR="00075654" w:rsidRPr="00964B6C">
        <w:rPr>
          <w:rFonts w:cs="Times New Roman"/>
          <w:szCs w:val="28"/>
        </w:rPr>
        <w:t xml:space="preserve"> и </w:t>
      </w:r>
      <w:r w:rsidR="0055642B" w:rsidRPr="00964B6C">
        <w:rPr>
          <w:rFonts w:cs="Times New Roman"/>
          <w:szCs w:val="28"/>
        </w:rPr>
        <w:t xml:space="preserve">(или) продлении срока достижения значений целевых показателей результативности, не </w:t>
      </w:r>
      <w:r w:rsidR="00075654" w:rsidRPr="00964B6C">
        <w:rPr>
          <w:rFonts w:cs="Times New Roman"/>
          <w:szCs w:val="28"/>
        </w:rPr>
        <w:t>разрабатывался</w:t>
      </w:r>
      <w:r w:rsidR="0055642B" w:rsidRPr="00964B6C">
        <w:rPr>
          <w:rFonts w:cs="Times New Roman"/>
          <w:szCs w:val="28"/>
        </w:rPr>
        <w:t>.</w:t>
      </w:r>
    </w:p>
    <w:p w:rsidR="00486628" w:rsidRPr="00FA7806" w:rsidRDefault="00576C4F" w:rsidP="003B006B">
      <w:pPr>
        <w:ind w:firstLine="567"/>
        <w:jc w:val="both"/>
      </w:pPr>
      <w:r w:rsidRPr="00FA7806">
        <w:t xml:space="preserve">Объемы начисленных штрафов по муниципальным образованиям в разрезе ГРБС </w:t>
      </w:r>
      <w:r w:rsidR="003A3AA5" w:rsidRPr="00FA7806">
        <w:t>представлены в Приложении 1</w:t>
      </w:r>
      <w:r w:rsidRPr="00FA7806">
        <w:t>.</w:t>
      </w:r>
    </w:p>
    <w:p w:rsidR="00D12FDE" w:rsidRPr="00FA7806" w:rsidRDefault="00200590" w:rsidP="00D12FDE">
      <w:pPr>
        <w:ind w:firstLine="567"/>
        <w:jc w:val="both"/>
        <w:rPr>
          <w:rFonts w:eastAsia="Times New Roman" w:cs="Times New Roman"/>
        </w:rPr>
      </w:pPr>
      <w:r w:rsidRPr="00FA7806">
        <w:rPr>
          <w:rFonts w:eastAsia="Times New Roman" w:cs="Times New Roman"/>
        </w:rPr>
        <w:t>И</w:t>
      </w:r>
      <w:r w:rsidR="00D12FDE" w:rsidRPr="00FA7806">
        <w:rPr>
          <w:rFonts w:eastAsia="Times New Roman" w:cs="Times New Roman"/>
        </w:rPr>
        <w:t xml:space="preserve">тоги соблюдения муниципальными образованиями фактической доли расходов </w:t>
      </w:r>
      <w:r w:rsidRPr="00FA7806">
        <w:rPr>
          <w:rFonts w:eastAsia="Times New Roman" w:cs="Times New Roman"/>
        </w:rPr>
        <w:t xml:space="preserve">местного </w:t>
      </w:r>
      <w:r w:rsidR="00D12FDE" w:rsidRPr="00FA7806">
        <w:rPr>
          <w:rFonts w:eastAsia="Times New Roman" w:cs="Times New Roman"/>
        </w:rPr>
        <w:t>бюджета на финансирование обязательств, софинансируемых за счет субсидии в 2019 году, следующие:</w:t>
      </w:r>
    </w:p>
    <w:p w:rsidR="00B22628" w:rsidRPr="00D12FDE" w:rsidRDefault="00B22628" w:rsidP="00D12FDE">
      <w:pPr>
        <w:ind w:firstLine="567"/>
        <w:jc w:val="both"/>
        <w:rPr>
          <w:rFonts w:eastAsia="Times New Roman" w:cs="Times New Roman"/>
        </w:rPr>
      </w:pPr>
    </w:p>
    <w:p w:rsidR="00D12FDE" w:rsidRPr="00D12FDE" w:rsidRDefault="00D12FDE" w:rsidP="00D12FDE">
      <w:pPr>
        <w:ind w:firstLine="567"/>
        <w:jc w:val="both"/>
        <w:rPr>
          <w:rFonts w:eastAsia="Times New Roman" w:cs="Times New Roman"/>
          <w:highlight w:val="yellow"/>
        </w:rPr>
      </w:pPr>
    </w:p>
    <w:tbl>
      <w:tblPr>
        <w:tblW w:w="10250" w:type="dxa"/>
        <w:tblInd w:w="-34" w:type="dxa"/>
        <w:tblLook w:val="04A0" w:firstRow="1" w:lastRow="0" w:firstColumn="1" w:lastColumn="0" w:noHBand="0" w:noVBand="1"/>
      </w:tblPr>
      <w:tblGrid>
        <w:gridCol w:w="4630"/>
        <w:gridCol w:w="2254"/>
        <w:gridCol w:w="1559"/>
        <w:gridCol w:w="1807"/>
      </w:tblGrid>
      <w:tr w:rsidR="00D12FDE" w:rsidRPr="00200590" w:rsidTr="00200590">
        <w:trPr>
          <w:trHeight w:val="155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DE" w:rsidRPr="00FA7806" w:rsidRDefault="00D12FDE" w:rsidP="00D12F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7806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DE" w:rsidRPr="00FA7806" w:rsidRDefault="00200590" w:rsidP="002005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7806">
              <w:rPr>
                <w:rFonts w:eastAsia="Times New Roman" w:cs="Times New Roman"/>
                <w:sz w:val="20"/>
                <w:szCs w:val="20"/>
                <w:lang w:eastAsia="ru-RU"/>
              </w:rPr>
              <w:t>Сумма расходов в результате отклонений</w:t>
            </w:r>
            <w:r w:rsidR="00D12FDE" w:rsidRPr="00FA78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 установленной доли софинансирования муниципальными образованиями    (тыс</w:t>
            </w:r>
            <w:proofErr w:type="gramStart"/>
            <w:r w:rsidR="00D12FDE" w:rsidRPr="00FA7806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D12FDE" w:rsidRPr="00FA7806">
              <w:rPr>
                <w:rFonts w:eastAsia="Times New Roman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DE" w:rsidRPr="00FA7806" w:rsidRDefault="00D12FDE" w:rsidP="00D12FD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7806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субсидий</w:t>
            </w:r>
            <w:r w:rsidR="00200590" w:rsidRPr="00FA780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FA78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которым выявлено отклонение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DE" w:rsidRPr="00FA7806" w:rsidRDefault="00D12FDE" w:rsidP="00D12FD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7806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муниципальных образований</w:t>
            </w:r>
            <w:r w:rsidR="00200590" w:rsidRPr="00FA780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FA78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которым выявлено отклонение</w:t>
            </w:r>
          </w:p>
        </w:tc>
      </w:tr>
      <w:tr w:rsidR="00D12FDE" w:rsidRPr="00D12FDE" w:rsidTr="005D6DA4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FDE" w:rsidRPr="00D12FDE" w:rsidRDefault="00D12FDE" w:rsidP="00D12F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градостроительной политики </w:t>
            </w:r>
            <w:r w:rsidRPr="00D12FDE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2FDE" w:rsidRPr="00D12FDE" w:rsidTr="005D6DA4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FDE" w:rsidRPr="00D12FDE" w:rsidRDefault="00D12FDE" w:rsidP="00D12F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общего и профессионального образования </w:t>
            </w:r>
            <w:r w:rsidRPr="00D12FDE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12FDE" w:rsidRPr="00D12FDE" w:rsidTr="005D6DA4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FDE" w:rsidRPr="00D12FDE" w:rsidRDefault="00D12FDE" w:rsidP="00D12F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агропромышленному и рыбохозяйственному комплексу </w:t>
            </w:r>
            <w:r w:rsidRPr="00D12FDE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12FDE" w:rsidRPr="00D12FDE" w:rsidTr="005D6DA4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FDE" w:rsidRPr="00D12FDE" w:rsidRDefault="00D12FDE" w:rsidP="00D12F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жилищно-коммунальному хозяйству </w:t>
            </w:r>
            <w:r w:rsidRPr="00D12FDE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12FDE" w:rsidRPr="00D12FDE" w:rsidTr="005D6DA4">
        <w:trPr>
          <w:trHeight w:val="6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FDE" w:rsidRPr="00D12FDE" w:rsidRDefault="00D12FDE" w:rsidP="00D12F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местному самоуправлению, межнациональным и межконфессиональным отношениям </w:t>
            </w:r>
            <w:r w:rsidRPr="00D12FDE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12FDE" w:rsidRPr="00D12FDE" w:rsidTr="005D6DA4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FDE" w:rsidRPr="00D12FDE" w:rsidRDefault="00D12FDE" w:rsidP="00D12F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молодежной политике </w:t>
            </w:r>
            <w:r w:rsidRPr="00D12FDE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2FDE" w:rsidRPr="00D12FDE" w:rsidTr="005D6DA4">
        <w:trPr>
          <w:trHeight w:val="6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FDE" w:rsidRPr="00D12FDE" w:rsidRDefault="00D12FDE" w:rsidP="00D12F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развитию малого, среднего бизнеса и потребительского рынка </w:t>
            </w:r>
            <w:r w:rsidRPr="00D12FDE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2FDE" w:rsidRPr="00D12FDE" w:rsidTr="005D6DA4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FDE" w:rsidRPr="00D12FDE" w:rsidRDefault="00D12FDE" w:rsidP="00D12F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социальной защите населения </w:t>
            </w:r>
            <w:r w:rsidRPr="00D12FDE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2FDE" w:rsidRPr="00D12FDE" w:rsidTr="005D6DA4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FDE" w:rsidRPr="00D12FDE" w:rsidRDefault="00D12FDE" w:rsidP="00D12F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топливно-энергетическому комплексу </w:t>
            </w:r>
            <w:r w:rsidRPr="00D12FDE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1 888,14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D12FDE" w:rsidRPr="00D12FDE" w:rsidTr="005D6DA4">
        <w:trPr>
          <w:trHeight w:val="6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FDE" w:rsidRPr="00D12FDE" w:rsidRDefault="00D12FDE" w:rsidP="00D12F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12FDE" w:rsidRPr="00D12FDE" w:rsidTr="005D6DA4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FDE" w:rsidRPr="00D12FDE" w:rsidRDefault="00D12FDE" w:rsidP="00D12F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D12FDE" w:rsidRDefault="00D12FDE" w:rsidP="00D12F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2FDE" w:rsidRPr="00200590" w:rsidTr="00200590">
        <w:trPr>
          <w:trHeight w:val="501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FDE" w:rsidRPr="00200590" w:rsidRDefault="00D12FDE" w:rsidP="00D12FD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9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200590" w:rsidRDefault="00D12FDE" w:rsidP="00D12FD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9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2 598,18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200590" w:rsidRDefault="00D12FDE" w:rsidP="00D12FD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9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FDE" w:rsidRPr="00200590" w:rsidRDefault="00D12FDE" w:rsidP="00D12FD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9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</w:tbl>
    <w:p w:rsidR="00D12FDE" w:rsidRPr="00D12FDE" w:rsidRDefault="00D12FDE" w:rsidP="00D12FDE">
      <w:pPr>
        <w:ind w:firstLine="567"/>
        <w:jc w:val="both"/>
        <w:rPr>
          <w:rFonts w:eastAsia="Times New Roman" w:cs="Times New Roman"/>
          <w:highlight w:val="yellow"/>
        </w:rPr>
      </w:pPr>
    </w:p>
    <w:p w:rsidR="00D12FDE" w:rsidRPr="00FA7806" w:rsidRDefault="002B5BDF" w:rsidP="00D12FDE">
      <w:pPr>
        <w:ind w:firstLine="567"/>
        <w:jc w:val="both"/>
        <w:rPr>
          <w:rFonts w:eastAsia="Times New Roman" w:cs="Times New Roman"/>
          <w:szCs w:val="28"/>
        </w:rPr>
      </w:pPr>
      <w:r w:rsidRPr="00FA7806">
        <w:rPr>
          <w:rFonts w:eastAsia="Times New Roman" w:cs="Times New Roman"/>
          <w:szCs w:val="28"/>
        </w:rPr>
        <w:t xml:space="preserve">Доля софинансирования соблюдена </w:t>
      </w:r>
      <w:r w:rsidR="00D12FDE" w:rsidRPr="00FA7806">
        <w:rPr>
          <w:rFonts w:eastAsia="Times New Roman" w:cs="Times New Roman"/>
          <w:szCs w:val="28"/>
        </w:rPr>
        <w:t>муниципальными образованиями</w:t>
      </w:r>
      <w:r w:rsidRPr="00FA7806">
        <w:rPr>
          <w:rFonts w:eastAsia="Times New Roman" w:cs="Times New Roman"/>
          <w:szCs w:val="28"/>
        </w:rPr>
        <w:t xml:space="preserve"> только</w:t>
      </w:r>
      <w:r w:rsidR="00D12FDE" w:rsidRPr="00FA7806">
        <w:rPr>
          <w:rFonts w:eastAsia="Times New Roman" w:cs="Times New Roman"/>
          <w:szCs w:val="28"/>
        </w:rPr>
        <w:t xml:space="preserve"> </w:t>
      </w:r>
      <w:r w:rsidRPr="00FA7806">
        <w:rPr>
          <w:rFonts w:eastAsia="Times New Roman" w:cs="Times New Roman"/>
          <w:szCs w:val="28"/>
        </w:rPr>
        <w:t>по субсидиям 7 ГРБС</w:t>
      </w:r>
      <w:r w:rsidR="00D12FDE" w:rsidRPr="00FA7806">
        <w:rPr>
          <w:rFonts w:eastAsia="Times New Roman" w:cs="Times New Roman"/>
          <w:szCs w:val="28"/>
        </w:rPr>
        <w:t xml:space="preserve">. Это </w:t>
      </w:r>
      <w:r w:rsidR="00D12FDE" w:rsidRPr="00FA7806">
        <w:rPr>
          <w:rFonts w:eastAsia="Times New Roman" w:cs="Times New Roman"/>
          <w:szCs w:val="28"/>
          <w:lang w:eastAsia="ru-RU"/>
        </w:rPr>
        <w:t xml:space="preserve">комитет по дорожному хозяйству Ленинградской области, комитет по культуре Ленинградской области, комитет по природным ресурсам Ленинградской области, комитет по физической культуре и спорту Ленинградской области, комитет экономического развития и инвестиционной  деятельности Ленинградской области, </w:t>
      </w:r>
      <w:r w:rsidR="00D12FDE" w:rsidRPr="00FA7806">
        <w:rPr>
          <w:rFonts w:eastAsia="Times New Roman" w:cs="Times New Roman"/>
          <w:szCs w:val="28"/>
        </w:rPr>
        <w:t>Ленинградский областной комитет по управлению государственным имуществом.</w:t>
      </w:r>
    </w:p>
    <w:p w:rsidR="00D12FDE" w:rsidRPr="00FA7806" w:rsidRDefault="00D12FDE" w:rsidP="00D12FDE">
      <w:pPr>
        <w:ind w:firstLine="567"/>
        <w:jc w:val="both"/>
        <w:rPr>
          <w:rFonts w:eastAsia="Times New Roman" w:cs="Times New Roman"/>
          <w:szCs w:val="28"/>
        </w:rPr>
      </w:pPr>
      <w:r w:rsidRPr="00FA7806">
        <w:rPr>
          <w:rFonts w:eastAsia="Times New Roman" w:cs="Times New Roman"/>
          <w:szCs w:val="28"/>
        </w:rPr>
        <w:t>Анализируя итоги 2019 года</w:t>
      </w:r>
      <w:r w:rsidR="002B5BDF" w:rsidRPr="00FA7806">
        <w:rPr>
          <w:rFonts w:eastAsia="Times New Roman" w:cs="Times New Roman"/>
          <w:szCs w:val="28"/>
        </w:rPr>
        <w:t>,</w:t>
      </w:r>
      <w:r w:rsidRPr="00FA7806">
        <w:rPr>
          <w:rFonts w:eastAsia="Times New Roman" w:cs="Times New Roman"/>
          <w:szCs w:val="28"/>
        </w:rPr>
        <w:t xml:space="preserve"> необходимо отметить, что в сравнении с 2018 годом отклонения от установленной доли софинансирования муниципальными образованиями сократил</w:t>
      </w:r>
      <w:r w:rsidR="002B5BDF" w:rsidRPr="00FA7806">
        <w:rPr>
          <w:rFonts w:eastAsia="Times New Roman" w:cs="Times New Roman"/>
          <w:szCs w:val="28"/>
        </w:rPr>
        <w:t>и</w:t>
      </w:r>
      <w:r w:rsidRPr="00FA7806">
        <w:rPr>
          <w:rFonts w:eastAsia="Times New Roman" w:cs="Times New Roman"/>
          <w:szCs w:val="28"/>
        </w:rPr>
        <w:t>сь в разы. Так</w:t>
      </w:r>
      <w:r w:rsidR="002B5BDF" w:rsidRPr="00FA7806">
        <w:rPr>
          <w:rFonts w:eastAsia="Times New Roman" w:cs="Times New Roman"/>
          <w:szCs w:val="28"/>
        </w:rPr>
        <w:t>,</w:t>
      </w:r>
      <w:r w:rsidRPr="00FA7806">
        <w:rPr>
          <w:rFonts w:eastAsia="Times New Roman" w:cs="Times New Roman"/>
          <w:szCs w:val="28"/>
        </w:rPr>
        <w:t xml:space="preserve"> в 2018 году объем</w:t>
      </w:r>
      <w:r w:rsidR="002B5BDF" w:rsidRPr="00FA7806">
        <w:rPr>
          <w:rFonts w:eastAsia="Times New Roman" w:cs="Times New Roman"/>
          <w:szCs w:val="28"/>
        </w:rPr>
        <w:t xml:space="preserve"> </w:t>
      </w:r>
      <w:r w:rsidRPr="00FA7806">
        <w:rPr>
          <w:rFonts w:eastAsia="Times New Roman" w:cs="Times New Roman"/>
          <w:szCs w:val="28"/>
        </w:rPr>
        <w:t>ассигнований из областного бюджета</w:t>
      </w:r>
      <w:r w:rsidR="002B5BDF" w:rsidRPr="00FA7806">
        <w:rPr>
          <w:rFonts w:eastAsia="Times New Roman" w:cs="Times New Roman"/>
          <w:szCs w:val="28"/>
        </w:rPr>
        <w:t>,</w:t>
      </w:r>
      <w:r w:rsidRPr="00FA7806">
        <w:rPr>
          <w:rFonts w:eastAsia="Times New Roman" w:cs="Times New Roman"/>
          <w:szCs w:val="28"/>
        </w:rPr>
        <w:t xml:space="preserve"> не обеспеченных софинансированием </w:t>
      </w:r>
      <w:r w:rsidR="002B5BDF" w:rsidRPr="00FA7806">
        <w:rPr>
          <w:rFonts w:eastAsia="Times New Roman" w:cs="Times New Roman"/>
          <w:szCs w:val="28"/>
        </w:rPr>
        <w:t>из</w:t>
      </w:r>
      <w:r w:rsidRPr="00FA7806">
        <w:rPr>
          <w:rFonts w:eastAsia="Times New Roman" w:cs="Times New Roman"/>
          <w:szCs w:val="28"/>
        </w:rPr>
        <w:t xml:space="preserve"> местн</w:t>
      </w:r>
      <w:r w:rsidR="002B5BDF" w:rsidRPr="00FA7806">
        <w:rPr>
          <w:rFonts w:eastAsia="Times New Roman" w:cs="Times New Roman"/>
          <w:szCs w:val="28"/>
        </w:rPr>
        <w:t>ых</w:t>
      </w:r>
      <w:r w:rsidRPr="00FA7806">
        <w:rPr>
          <w:rFonts w:eastAsia="Times New Roman" w:cs="Times New Roman"/>
          <w:szCs w:val="28"/>
        </w:rPr>
        <w:t xml:space="preserve"> бюджет</w:t>
      </w:r>
      <w:r w:rsidR="002B5BDF" w:rsidRPr="00FA7806">
        <w:rPr>
          <w:rFonts w:eastAsia="Times New Roman" w:cs="Times New Roman"/>
          <w:szCs w:val="28"/>
        </w:rPr>
        <w:t>ов,</w:t>
      </w:r>
      <w:r w:rsidRPr="00FA7806">
        <w:rPr>
          <w:rFonts w:eastAsia="Times New Roman" w:cs="Times New Roman"/>
          <w:szCs w:val="28"/>
        </w:rPr>
        <w:t xml:space="preserve"> составл</w:t>
      </w:r>
      <w:r w:rsidR="002B5BDF" w:rsidRPr="00FA7806">
        <w:rPr>
          <w:rFonts w:eastAsia="Times New Roman" w:cs="Times New Roman"/>
          <w:szCs w:val="28"/>
        </w:rPr>
        <w:t>ял</w:t>
      </w:r>
      <w:r w:rsidRPr="00FA7806">
        <w:rPr>
          <w:rFonts w:eastAsia="Times New Roman" w:cs="Times New Roman"/>
          <w:szCs w:val="28"/>
        </w:rPr>
        <w:t xml:space="preserve"> 13 215,2 тыс.руб</w:t>
      </w:r>
      <w:r w:rsidR="002B5BDF" w:rsidRPr="00FA7806">
        <w:rPr>
          <w:rFonts w:eastAsia="Times New Roman" w:cs="Times New Roman"/>
          <w:szCs w:val="28"/>
        </w:rPr>
        <w:t>.</w:t>
      </w:r>
      <w:r w:rsidRPr="00FA7806">
        <w:rPr>
          <w:rFonts w:eastAsia="Times New Roman" w:cs="Times New Roman"/>
          <w:szCs w:val="28"/>
        </w:rPr>
        <w:t>, в 2019 году – 2 598,18 тыс.руб.</w:t>
      </w:r>
      <w:r w:rsidR="002B5BDF" w:rsidRPr="00FA7806">
        <w:rPr>
          <w:rFonts w:eastAsia="Times New Roman" w:cs="Times New Roman"/>
          <w:szCs w:val="28"/>
        </w:rPr>
        <w:t xml:space="preserve"> (в 5 раз меньше).</w:t>
      </w:r>
    </w:p>
    <w:p w:rsidR="00D12FDE" w:rsidRPr="00024D40" w:rsidRDefault="00D12FDE" w:rsidP="00D12FDE">
      <w:pPr>
        <w:ind w:firstLine="567"/>
        <w:jc w:val="both"/>
        <w:rPr>
          <w:rFonts w:eastAsia="Times New Roman" w:cs="Times New Roman"/>
        </w:rPr>
      </w:pPr>
      <w:bookmarkStart w:id="0" w:name="_GoBack"/>
      <w:r w:rsidRPr="00024D40">
        <w:rPr>
          <w:rFonts w:eastAsia="Times New Roman" w:cs="Times New Roman"/>
        </w:rPr>
        <w:t>Сводная информация по муниципальным образованиям, которы</w:t>
      </w:r>
      <w:r w:rsidR="002B5BDF" w:rsidRPr="00024D40">
        <w:rPr>
          <w:rFonts w:eastAsia="Times New Roman" w:cs="Times New Roman"/>
        </w:rPr>
        <w:t>е</w:t>
      </w:r>
      <w:r w:rsidRPr="00024D40">
        <w:rPr>
          <w:rFonts w:eastAsia="Times New Roman" w:cs="Times New Roman"/>
        </w:rPr>
        <w:t xml:space="preserve"> допу</w:t>
      </w:r>
      <w:r w:rsidR="002B5BDF" w:rsidRPr="00024D40">
        <w:rPr>
          <w:rFonts w:eastAsia="Times New Roman" w:cs="Times New Roman"/>
        </w:rPr>
        <w:t>стили</w:t>
      </w:r>
      <w:r w:rsidRPr="00024D40">
        <w:rPr>
          <w:rFonts w:eastAsia="Times New Roman" w:cs="Times New Roman"/>
        </w:rPr>
        <w:t xml:space="preserve"> нарушения фактической доли расходов бюджета муниципального образования на финансирование обязательств, софинансируемых за счет субсидии из областного бюджета Ленинградской области</w:t>
      </w:r>
      <w:r w:rsidR="002B5BDF" w:rsidRPr="00024D40">
        <w:rPr>
          <w:rFonts w:eastAsia="Times New Roman" w:cs="Times New Roman"/>
        </w:rPr>
        <w:t>,</w:t>
      </w:r>
      <w:r w:rsidRPr="00024D40">
        <w:rPr>
          <w:rFonts w:eastAsia="Times New Roman" w:cs="Times New Roman"/>
        </w:rPr>
        <w:t xml:space="preserve"> в разрезе ГРБС представлен</w:t>
      </w:r>
      <w:r w:rsidR="002B5BDF" w:rsidRPr="00024D40">
        <w:rPr>
          <w:rFonts w:eastAsia="Times New Roman" w:cs="Times New Roman"/>
        </w:rPr>
        <w:t>а</w:t>
      </w:r>
      <w:r w:rsidRPr="00024D40">
        <w:rPr>
          <w:rFonts w:eastAsia="Times New Roman" w:cs="Times New Roman"/>
        </w:rPr>
        <w:t xml:space="preserve"> в Приложении 2.</w:t>
      </w:r>
    </w:p>
    <w:bookmarkEnd w:id="0"/>
    <w:p w:rsidR="00D12FDE" w:rsidRPr="00327F1C" w:rsidRDefault="00D12FDE" w:rsidP="003B006B">
      <w:pPr>
        <w:ind w:firstLine="567"/>
        <w:jc w:val="both"/>
        <w:rPr>
          <w:highlight w:val="yellow"/>
        </w:rPr>
      </w:pPr>
    </w:p>
    <w:sectPr w:rsidR="00D12FDE" w:rsidRPr="00327F1C" w:rsidSect="0095149A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06" w:rsidRDefault="00FA7806" w:rsidP="00E74282">
      <w:r>
        <w:separator/>
      </w:r>
    </w:p>
  </w:endnote>
  <w:endnote w:type="continuationSeparator" w:id="0">
    <w:p w:rsidR="00FA7806" w:rsidRDefault="00FA7806" w:rsidP="00E7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552212"/>
      <w:docPartObj>
        <w:docPartGallery w:val="Page Numbers (Bottom of Page)"/>
        <w:docPartUnique/>
      </w:docPartObj>
    </w:sdtPr>
    <w:sdtContent>
      <w:p w:rsidR="00FA7806" w:rsidRDefault="00FA78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D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806" w:rsidRDefault="00FA78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06" w:rsidRDefault="00FA7806" w:rsidP="00E74282">
      <w:r>
        <w:separator/>
      </w:r>
    </w:p>
  </w:footnote>
  <w:footnote w:type="continuationSeparator" w:id="0">
    <w:p w:rsidR="00FA7806" w:rsidRDefault="00FA7806" w:rsidP="00E74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4F"/>
    <w:rsid w:val="00004CA0"/>
    <w:rsid w:val="00011D5D"/>
    <w:rsid w:val="00024D40"/>
    <w:rsid w:val="000262F5"/>
    <w:rsid w:val="00030F5E"/>
    <w:rsid w:val="00070DC0"/>
    <w:rsid w:val="000740D8"/>
    <w:rsid w:val="00075654"/>
    <w:rsid w:val="00085CC6"/>
    <w:rsid w:val="00086E20"/>
    <w:rsid w:val="000E3259"/>
    <w:rsid w:val="000F3161"/>
    <w:rsid w:val="00105C49"/>
    <w:rsid w:val="00143A7F"/>
    <w:rsid w:val="00162924"/>
    <w:rsid w:val="001651A1"/>
    <w:rsid w:val="00170341"/>
    <w:rsid w:val="0018278E"/>
    <w:rsid w:val="001D7DF8"/>
    <w:rsid w:val="00200590"/>
    <w:rsid w:val="00212EF8"/>
    <w:rsid w:val="0025240B"/>
    <w:rsid w:val="0025494A"/>
    <w:rsid w:val="00281093"/>
    <w:rsid w:val="002B5BDF"/>
    <w:rsid w:val="002C52C4"/>
    <w:rsid w:val="002D38D7"/>
    <w:rsid w:val="00302C7D"/>
    <w:rsid w:val="00305ED9"/>
    <w:rsid w:val="00327F1C"/>
    <w:rsid w:val="00333139"/>
    <w:rsid w:val="00350DD2"/>
    <w:rsid w:val="0036659F"/>
    <w:rsid w:val="00396E61"/>
    <w:rsid w:val="003A3AA5"/>
    <w:rsid w:val="003B006B"/>
    <w:rsid w:val="003E7EFA"/>
    <w:rsid w:val="0041634A"/>
    <w:rsid w:val="00417911"/>
    <w:rsid w:val="00425D59"/>
    <w:rsid w:val="00436B11"/>
    <w:rsid w:val="00443834"/>
    <w:rsid w:val="00444C4E"/>
    <w:rsid w:val="00456250"/>
    <w:rsid w:val="00456975"/>
    <w:rsid w:val="00470DD0"/>
    <w:rsid w:val="00480B23"/>
    <w:rsid w:val="00482F28"/>
    <w:rsid w:val="00486628"/>
    <w:rsid w:val="004E1458"/>
    <w:rsid w:val="004F279C"/>
    <w:rsid w:val="004F71DA"/>
    <w:rsid w:val="00505A4F"/>
    <w:rsid w:val="00511182"/>
    <w:rsid w:val="00520C1F"/>
    <w:rsid w:val="00527529"/>
    <w:rsid w:val="0055269D"/>
    <w:rsid w:val="0055642B"/>
    <w:rsid w:val="00566472"/>
    <w:rsid w:val="005703BD"/>
    <w:rsid w:val="00576C4F"/>
    <w:rsid w:val="005C1020"/>
    <w:rsid w:val="005C42B3"/>
    <w:rsid w:val="005D497C"/>
    <w:rsid w:val="005D6DA4"/>
    <w:rsid w:val="005E46C9"/>
    <w:rsid w:val="00601CA9"/>
    <w:rsid w:val="00614FE1"/>
    <w:rsid w:val="00615339"/>
    <w:rsid w:val="006353F9"/>
    <w:rsid w:val="00635F1A"/>
    <w:rsid w:val="0063684B"/>
    <w:rsid w:val="00650BF9"/>
    <w:rsid w:val="00662D09"/>
    <w:rsid w:val="00695289"/>
    <w:rsid w:val="006975C2"/>
    <w:rsid w:val="006A5ED7"/>
    <w:rsid w:val="006B43AF"/>
    <w:rsid w:val="006C14D7"/>
    <w:rsid w:val="006C2090"/>
    <w:rsid w:val="006C594F"/>
    <w:rsid w:val="006E12FB"/>
    <w:rsid w:val="00703B0C"/>
    <w:rsid w:val="00721B87"/>
    <w:rsid w:val="007656BA"/>
    <w:rsid w:val="007A5F70"/>
    <w:rsid w:val="007A6889"/>
    <w:rsid w:val="007D2B54"/>
    <w:rsid w:val="007E7342"/>
    <w:rsid w:val="00830A0D"/>
    <w:rsid w:val="00876889"/>
    <w:rsid w:val="008D09EB"/>
    <w:rsid w:val="008D1719"/>
    <w:rsid w:val="008E450F"/>
    <w:rsid w:val="009107A4"/>
    <w:rsid w:val="00914C00"/>
    <w:rsid w:val="009354EE"/>
    <w:rsid w:val="0095149A"/>
    <w:rsid w:val="00964B6C"/>
    <w:rsid w:val="009931BB"/>
    <w:rsid w:val="009A2659"/>
    <w:rsid w:val="009B4CE3"/>
    <w:rsid w:val="009B6E1C"/>
    <w:rsid w:val="009C0A22"/>
    <w:rsid w:val="00A30744"/>
    <w:rsid w:val="00A31328"/>
    <w:rsid w:val="00A32AAB"/>
    <w:rsid w:val="00A6491B"/>
    <w:rsid w:val="00A70C09"/>
    <w:rsid w:val="00A71863"/>
    <w:rsid w:val="00A80ECB"/>
    <w:rsid w:val="00A82473"/>
    <w:rsid w:val="00A90879"/>
    <w:rsid w:val="00A925DE"/>
    <w:rsid w:val="00A93FBA"/>
    <w:rsid w:val="00A96B66"/>
    <w:rsid w:val="00AB1ADF"/>
    <w:rsid w:val="00AC0973"/>
    <w:rsid w:val="00AC0EDA"/>
    <w:rsid w:val="00AC1EC1"/>
    <w:rsid w:val="00AC4E4E"/>
    <w:rsid w:val="00B22628"/>
    <w:rsid w:val="00B22763"/>
    <w:rsid w:val="00B33844"/>
    <w:rsid w:val="00B338E0"/>
    <w:rsid w:val="00B61DFA"/>
    <w:rsid w:val="00B668DC"/>
    <w:rsid w:val="00B74E8B"/>
    <w:rsid w:val="00B76200"/>
    <w:rsid w:val="00B8483E"/>
    <w:rsid w:val="00B853F4"/>
    <w:rsid w:val="00BA718B"/>
    <w:rsid w:val="00BB3F32"/>
    <w:rsid w:val="00BD778F"/>
    <w:rsid w:val="00BE0CC4"/>
    <w:rsid w:val="00BF3625"/>
    <w:rsid w:val="00C027D2"/>
    <w:rsid w:val="00C44218"/>
    <w:rsid w:val="00C50282"/>
    <w:rsid w:val="00C63C9D"/>
    <w:rsid w:val="00C643FF"/>
    <w:rsid w:val="00C653B0"/>
    <w:rsid w:val="00C758C2"/>
    <w:rsid w:val="00C91CCF"/>
    <w:rsid w:val="00CB3D57"/>
    <w:rsid w:val="00CD21B1"/>
    <w:rsid w:val="00CE59FF"/>
    <w:rsid w:val="00D119AD"/>
    <w:rsid w:val="00D12FDE"/>
    <w:rsid w:val="00D203B3"/>
    <w:rsid w:val="00D274C6"/>
    <w:rsid w:val="00D624AF"/>
    <w:rsid w:val="00D62753"/>
    <w:rsid w:val="00D733B7"/>
    <w:rsid w:val="00D766AB"/>
    <w:rsid w:val="00D86492"/>
    <w:rsid w:val="00DB324F"/>
    <w:rsid w:val="00DE2997"/>
    <w:rsid w:val="00E0552E"/>
    <w:rsid w:val="00E10DC9"/>
    <w:rsid w:val="00E312D7"/>
    <w:rsid w:val="00E52C91"/>
    <w:rsid w:val="00E56515"/>
    <w:rsid w:val="00E67518"/>
    <w:rsid w:val="00E73B1C"/>
    <w:rsid w:val="00E74282"/>
    <w:rsid w:val="00E77E1E"/>
    <w:rsid w:val="00EB75D8"/>
    <w:rsid w:val="00ED262F"/>
    <w:rsid w:val="00ED4C0F"/>
    <w:rsid w:val="00ED56D7"/>
    <w:rsid w:val="00EE2F7F"/>
    <w:rsid w:val="00EE43FE"/>
    <w:rsid w:val="00F00FBE"/>
    <w:rsid w:val="00F20687"/>
    <w:rsid w:val="00F27604"/>
    <w:rsid w:val="00F4251A"/>
    <w:rsid w:val="00F635D6"/>
    <w:rsid w:val="00F65066"/>
    <w:rsid w:val="00F87D85"/>
    <w:rsid w:val="00FA32F0"/>
    <w:rsid w:val="00FA7806"/>
    <w:rsid w:val="00FC32D5"/>
    <w:rsid w:val="00FC336A"/>
    <w:rsid w:val="00FC6A7F"/>
    <w:rsid w:val="00FC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42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28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7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28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42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28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7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28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8E87-6D21-4EEC-A4B4-5B0FFD46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Балабанова Екатерина Евгеньевна</cp:lastModifiedBy>
  <cp:revision>4</cp:revision>
  <cp:lastPrinted>2019-04-17T12:41:00Z</cp:lastPrinted>
  <dcterms:created xsi:type="dcterms:W3CDTF">2020-04-09T09:32:00Z</dcterms:created>
  <dcterms:modified xsi:type="dcterms:W3CDTF">2020-04-10T09:13:00Z</dcterms:modified>
</cp:coreProperties>
</file>