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7" w:rsidRPr="003F2177" w:rsidRDefault="003F2177" w:rsidP="003F2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 w:rsidR="006D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</w:t>
      </w: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политики Ленинградской области </w:t>
      </w:r>
    </w:p>
    <w:p w:rsidR="003F2177" w:rsidRPr="003F2177" w:rsidRDefault="003F2177" w:rsidP="003F2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</w:p>
    <w:p w:rsidR="003F2177" w:rsidRPr="003F2177" w:rsidRDefault="003F2177" w:rsidP="003F2177">
      <w:pPr>
        <w:widowControl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177" w:rsidRPr="003F2177" w:rsidRDefault="003F2177" w:rsidP="003F2177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2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</w:t>
      </w:r>
      <w:proofErr w:type="gramEnd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и развитие принципов проектного управления.</w:t>
      </w:r>
    </w:p>
    <w:p w:rsidR="003F2177" w:rsidRPr="003F2177" w:rsidRDefault="003F2177" w:rsidP="003F2177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2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роста государственного долга Ленинградской области. </w:t>
      </w:r>
    </w:p>
    <w:p w:rsidR="003F2177" w:rsidRPr="003F2177" w:rsidRDefault="003F2177" w:rsidP="003F2177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Увеличение доходной базы консолидированного бюджета Ленинградской области.</w:t>
      </w:r>
    </w:p>
    <w:p w:rsidR="003F2177" w:rsidRPr="003F2177" w:rsidRDefault="003F2177" w:rsidP="003F2177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Повышение эффективности управления бюджетными расходами.</w:t>
      </w:r>
    </w:p>
    <w:p w:rsidR="003F2177" w:rsidRPr="003F2177" w:rsidRDefault="003F2177" w:rsidP="003F2177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77" w:rsidRPr="003F2177" w:rsidRDefault="003F2177" w:rsidP="003F2177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2177">
        <w:rPr>
          <w:rFonts w:ascii="Times New Roman" w:eastAsia="Calibri" w:hAnsi="Times New Roman" w:cs="Times New Roman"/>
          <w:b/>
          <w:sz w:val="28"/>
          <w:szCs w:val="28"/>
        </w:rPr>
        <w:t>1. </w:t>
      </w:r>
      <w:proofErr w:type="gramStart"/>
      <w:r w:rsidRPr="003F2177">
        <w:rPr>
          <w:rFonts w:ascii="Times New Roman" w:eastAsia="Calibri" w:hAnsi="Times New Roman" w:cs="Times New Roman"/>
          <w:b/>
          <w:sz w:val="28"/>
          <w:szCs w:val="28"/>
        </w:rPr>
        <w:t>Стратегическая</w:t>
      </w:r>
      <w:proofErr w:type="gramEnd"/>
      <w:r w:rsidRPr="003F21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F2177">
        <w:rPr>
          <w:rFonts w:ascii="Times New Roman" w:eastAsia="Calibri" w:hAnsi="Times New Roman" w:cs="Times New Roman"/>
          <w:b/>
          <w:sz w:val="28"/>
          <w:szCs w:val="28"/>
        </w:rPr>
        <w:t>приоритизация</w:t>
      </w:r>
      <w:proofErr w:type="spellEnd"/>
      <w:r w:rsidRPr="003F2177"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и внедрение проектных принципов управления</w:t>
      </w:r>
    </w:p>
    <w:p w:rsidR="003F2177" w:rsidRPr="003F2177" w:rsidRDefault="003F2177" w:rsidP="008D2B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2177">
        <w:rPr>
          <w:rFonts w:ascii="Times New Roman" w:eastAsia="Calibri" w:hAnsi="Times New Roman" w:cs="Times New Roman"/>
          <w:sz w:val="28"/>
          <w:szCs w:val="28"/>
        </w:rPr>
        <w:t>Ключевым направлением бюджетной политики Ленинградской области на среднесрочную перспективу является достижение целей, обозначенных в Указе Президента Российской Федерации от 07.05.2018 № 204 "О национальных целях и стратегических задачах развития Российской Федерации на период до 2024 года" и  Указе Президента Российской Федерации от 21.07.2020 № 474 "О национальных целях развития Российской Федерации на период до 2030 года".</w:t>
      </w:r>
      <w:proofErr w:type="gramEnd"/>
      <w:r w:rsidR="000A6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областного бюджета Ленинградской области бюджетные ассигнования на реализацию национальных проектов предусм</w:t>
      </w:r>
      <w:r w:rsidR="000A671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>тр</w:t>
      </w:r>
      <w:r w:rsidR="000A6718">
        <w:rPr>
          <w:rFonts w:ascii="Times New Roman" w:eastAsia="Calibri" w:hAnsi="Times New Roman" w:cs="Times New Roman"/>
          <w:sz w:val="28"/>
          <w:szCs w:val="28"/>
          <w:lang w:eastAsia="ru-RU"/>
        </w:rPr>
        <w:t>ены</w:t>
      </w: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приоритетном порядке, помимо этого </w:t>
      </w:r>
      <w:r w:rsidR="000A6718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>резервир</w:t>
      </w:r>
      <w:r w:rsidR="000A6718">
        <w:rPr>
          <w:rFonts w:ascii="Times New Roman" w:eastAsia="Calibri" w:hAnsi="Times New Roman" w:cs="Times New Roman"/>
          <w:sz w:val="28"/>
          <w:szCs w:val="28"/>
          <w:lang w:eastAsia="ru-RU"/>
        </w:rPr>
        <w:t>ованы</w:t>
      </w: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6718"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</w:t>
      </w: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возможности направления</w:t>
      </w:r>
      <w:r w:rsidR="0041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</w:t>
      </w: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увеличение расходов с целью достижения повышенных значений ключевых показателей.</w:t>
      </w:r>
    </w:p>
    <w:p w:rsidR="003F2177" w:rsidRPr="003F2177" w:rsidRDefault="003F2177" w:rsidP="003F2177">
      <w:pPr>
        <w:tabs>
          <w:tab w:val="left" w:pos="6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задач, поставленных в Указах, требует от Ленинградской области организации взаимодействия с федеральными органами власти по курируемым направлениям, в том числе участие в согласовании целевых показателей применительно к региону и определении объема необходимых финансовых ресурсов. </w:t>
      </w:r>
    </w:p>
    <w:p w:rsidR="00A1759D" w:rsidRDefault="00A1759D" w:rsidP="003F2177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2177" w:rsidRPr="003F2177" w:rsidRDefault="003F2177" w:rsidP="003F2177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Ограничение роста государственного долга Ленинградской области</w:t>
      </w:r>
    </w:p>
    <w:p w:rsidR="003F2177" w:rsidRPr="003F2177" w:rsidRDefault="003F2177" w:rsidP="008F58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Ленинградской области остается ограничение роста государственного долга Ленинградской области в размере не более 9,0% от суммы доходов областного бюджета Ленинградской области без учета безвозмездных поступлений.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ограничение в первую очередь планируется обеспечить за счет </w:t>
      </w:r>
      <w:proofErr w:type="gramStart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роста дефицита областного бюджета Ленинградской области</w:t>
      </w:r>
      <w:proofErr w:type="gramEnd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2177" w:rsidRPr="003F2177" w:rsidRDefault="003F2177" w:rsidP="002E23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ограничения роста государственного долга планируется продолжить работу по оптимизации расходов областного бюджета Ленинградской области и налоговых льгот, одновременно обеспечивая сохранение финансовой устойчивости и сбалансированности бюджета в среднесрочной перспективе.</w:t>
      </w:r>
      <w:r w:rsidR="002E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заимствования, направленные на покрытие дефицита бюджета, будут  производиться в 2021-2023 годах.</w:t>
      </w:r>
      <w:r w:rsidR="002E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финансирования дефицита в 2021 году планируются остатки средств бюджета.</w:t>
      </w:r>
    </w:p>
    <w:p w:rsidR="003F2177" w:rsidRPr="003F2177" w:rsidRDefault="003F2177" w:rsidP="003F2177">
      <w:pPr>
        <w:tabs>
          <w:tab w:val="left" w:pos="67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дальнейшем планируется поддержание объема долговых обязательств Ленинградской области на экономически безопасном уровне, позволяющем </w:t>
      </w:r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сохранять </w:t>
      </w:r>
      <w:proofErr w:type="gramStart"/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объемом и стоимостью обслуживания государственного долга Ленинградской области с учетом всех возможных рисков и обеспечивать равномерное распределение долговой нагрузки на областной бюджет Ленинградской области.</w:t>
      </w:r>
    </w:p>
    <w:p w:rsidR="003F2177" w:rsidRPr="003F2177" w:rsidRDefault="002E23C2" w:rsidP="002E23C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Будет продолжена</w:t>
      </w:r>
      <w:r w:rsidR="003F2177" w:rsidRPr="003F2177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F2177" w:rsidRPr="003F2177">
        <w:rPr>
          <w:rFonts w:ascii="Times New Roman" w:eastAsia="Calibri" w:hAnsi="Times New Roman" w:cs="Times New Roman"/>
          <w:sz w:val="28"/>
          <w:szCs w:val="28"/>
        </w:rPr>
        <w:t>по расширению перечня инструментов управления временно свободными остатками средств на едином счете областного бюджета Ленинградской области.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177" w:rsidRPr="003F2177">
        <w:rPr>
          <w:rFonts w:ascii="Times New Roman" w:eastAsia="Calibri" w:hAnsi="Times New Roman" w:cs="Times New Roman"/>
          <w:sz w:val="28"/>
          <w:szCs w:val="28"/>
        </w:rPr>
        <w:t>В целях эффективного управления остатками средств и диверсификации активов, обеспечения конкурентной доходности при необходимом уровне надежности наряду с размещением временно свободных денежных средств областного бюджета в банковские  депозиты в 2021 году планируется осуществление  операций покупки (продажи) ценных бумаг по договорам репо.</w:t>
      </w:r>
    </w:p>
    <w:p w:rsidR="003F2177" w:rsidRPr="003F2177" w:rsidRDefault="003F2177" w:rsidP="003F2177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77" w:rsidRPr="003F2177" w:rsidRDefault="003F2177" w:rsidP="003F2177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Увеличение доходной базы консолидированного бюджета Ленинградской области.</w:t>
      </w:r>
    </w:p>
    <w:p w:rsidR="003F2177" w:rsidRPr="003F2177" w:rsidRDefault="003F2177" w:rsidP="003F2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решения указанной задачи планируется проведение мероприятий по следующим направлениям</w:t>
      </w:r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F2177" w:rsidRPr="003F2177" w:rsidRDefault="003F2177" w:rsidP="003F2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Отмена неэффективных налоговых льгот (налоговых расходов), установленных областными законами Ленинградской области и нормативными правовыми актами органов местного самоуправления. </w:t>
      </w:r>
    </w:p>
    <w:p w:rsidR="003F2177" w:rsidRPr="003F2177" w:rsidRDefault="003F2177" w:rsidP="003F2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3.2. 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:rsidR="003F2177" w:rsidRPr="003F2177" w:rsidRDefault="003F2177" w:rsidP="003F2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 Принятие мер по повышению налогового потенциала бюджетов:</w:t>
      </w:r>
    </w:p>
    <w:p w:rsidR="003F2177" w:rsidRPr="003F2177" w:rsidRDefault="003F2177" w:rsidP="003F2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3F2177" w:rsidRPr="003F2177" w:rsidRDefault="003F2177" w:rsidP="003F2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установление новых критериев отбора объектов, в отношении которых налог на имущество организаций исчисляется от кадастровой стоимости в соответствии с положениями Налогового кодекса Российской Федерации и областного закона от 25.11.2003 № 98-оз "О налоге на имущество организаций" (торговые комплексы площадью свыше 500 </w:t>
      </w:r>
      <w:proofErr w:type="spellStart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F2177" w:rsidRPr="003F2177" w:rsidRDefault="003F2177" w:rsidP="003F2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t>- рассмотрение возможности увеличения установленных налоговых ставок по земельному налогу и налогу на имущество физических лиц с учетом результатов оценки эффективности налоговых расходов, возникающие вследствие применения пониженных налоговых ставок;</w:t>
      </w:r>
    </w:p>
    <w:p w:rsidR="003F2177" w:rsidRPr="003F2177" w:rsidRDefault="003F2177" w:rsidP="003F2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3F2177">
        <w:rPr>
          <w:rFonts w:ascii="Times New Roman" w:eastAsia="Times New Roman" w:hAnsi="Times New Roman" w:cs="Times New Roman"/>
          <w:sz w:val="28"/>
        </w:rPr>
        <w:t>- повышение результативности мероприятий, проводимых в рамках муниципального земельного контроля;</w:t>
      </w:r>
    </w:p>
    <w:p w:rsidR="003F2177" w:rsidRPr="003F2177" w:rsidRDefault="003F2177" w:rsidP="003F2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</w:rPr>
        <w:t>- </w:t>
      </w:r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:rsidR="003F2177" w:rsidRPr="003F2177" w:rsidRDefault="003F2177" w:rsidP="003F2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:rsidR="003F2177" w:rsidRPr="003F2177" w:rsidRDefault="003F2177" w:rsidP="003F2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:rsidR="003F2177" w:rsidRPr="003F2177" w:rsidRDefault="003F2177" w:rsidP="003F2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Повышение эффективности использования государственного и муниципального имущества, в том числе в рамках внедрения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</w:t>
      </w:r>
      <w:r w:rsidRPr="003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177" w:rsidRPr="003F2177" w:rsidRDefault="003F2177" w:rsidP="003F2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77" w:rsidRPr="003F2177" w:rsidRDefault="003F2177" w:rsidP="003F2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Повышение эффективности управления бюджетными расходами.</w:t>
      </w:r>
    </w:p>
    <w:p w:rsidR="003F2177" w:rsidRPr="003F2177" w:rsidRDefault="003F2177" w:rsidP="003F2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связанные с обеспечением качественного улучшения результатов при управлении бюджетным процессом в Ленинградской области осуществляются по основным направлениям, определенным Концепцией повышения эффективности бюджетных расходов 2019-2024 годах (</w:t>
      </w:r>
      <w:proofErr w:type="gramStart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31.01.2019 № 117-р).</w:t>
      </w:r>
    </w:p>
    <w:p w:rsidR="003F2177" w:rsidRPr="003F2177" w:rsidRDefault="003F2177" w:rsidP="003F2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Концепции </w:t>
      </w:r>
      <w:r w:rsidR="003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решение задач по следующим направлениям</w:t>
      </w:r>
      <w:r w:rsidR="00316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177" w:rsidRPr="00273D8E" w:rsidRDefault="00273D8E" w:rsidP="003F2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3F2177" w:rsidRPr="002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сформированной системой налоговых расходов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177" w:rsidRPr="00273D8E" w:rsidRDefault="00273D8E" w:rsidP="003F2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F2177" w:rsidRPr="0027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эффективных процедур планирования и современных технологий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177" w:rsidRPr="00273D8E" w:rsidRDefault="00273D8E" w:rsidP="003F2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F2177" w:rsidRPr="002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 эффективности и качества оказания государственных услуг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177" w:rsidRPr="00273D8E" w:rsidRDefault="00273D8E" w:rsidP="003F2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F2177" w:rsidRPr="002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закупок товаров, работ,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177" w:rsidRPr="00273D8E" w:rsidRDefault="00273D8E" w:rsidP="003F2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F2177" w:rsidRPr="002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подотчетности (подконтрольности) бюджетных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177" w:rsidRPr="00273D8E" w:rsidRDefault="00273D8E" w:rsidP="003F2177">
      <w:pPr>
        <w:tabs>
          <w:tab w:val="left" w:pos="6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F2177" w:rsidRPr="00273D8E">
        <w:rPr>
          <w:rFonts w:ascii="Times New Roman" w:eastAsia="Calibri" w:hAnsi="Times New Roman" w:cs="Times New Roman"/>
          <w:sz w:val="28"/>
          <w:szCs w:val="28"/>
        </w:rPr>
        <w:t>азвитие межбюджетных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3F2177" w:rsidRPr="00273D8E" w:rsidSect="003F21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7"/>
    <w:rsid w:val="000A6718"/>
    <w:rsid w:val="00273D8E"/>
    <w:rsid w:val="002E23C2"/>
    <w:rsid w:val="00316CDB"/>
    <w:rsid w:val="003F2177"/>
    <w:rsid w:val="0041122B"/>
    <w:rsid w:val="00665E50"/>
    <w:rsid w:val="006D6A82"/>
    <w:rsid w:val="008D2BB6"/>
    <w:rsid w:val="008F583D"/>
    <w:rsid w:val="00A1759D"/>
    <w:rsid w:val="00A417E9"/>
    <w:rsid w:val="00B86730"/>
    <w:rsid w:val="00CA49CF"/>
    <w:rsid w:val="00CC78D8"/>
    <w:rsid w:val="00D5310D"/>
    <w:rsid w:val="00E92DE7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 Знак Знак Знак Знак Знак Знак Знак"/>
    <w:basedOn w:val="a"/>
    <w:rsid w:val="003F21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 Знак Знак Знак Знак Знак Знак Знак"/>
    <w:basedOn w:val="a"/>
    <w:rsid w:val="003F21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Черепанов Сергей Геннадьевич</cp:lastModifiedBy>
  <cp:revision>2</cp:revision>
  <cp:lastPrinted>2021-02-18T05:45:00Z</cp:lastPrinted>
  <dcterms:created xsi:type="dcterms:W3CDTF">2021-04-08T05:55:00Z</dcterms:created>
  <dcterms:modified xsi:type="dcterms:W3CDTF">2021-04-08T05:55:00Z</dcterms:modified>
</cp:coreProperties>
</file>