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A1" w:rsidRDefault="009975A1" w:rsidP="009975A1">
      <w:pPr>
        <w:pStyle w:val="ConsPlusNormal"/>
        <w:jc w:val="right"/>
        <w:outlineLvl w:val="0"/>
      </w:pPr>
      <w:r>
        <w:t>УТВЕРЖДЕНЫ</w:t>
      </w:r>
    </w:p>
    <w:p w:rsidR="009975A1" w:rsidRDefault="009975A1" w:rsidP="009975A1">
      <w:pPr>
        <w:pStyle w:val="ConsPlusNormal"/>
        <w:jc w:val="right"/>
      </w:pPr>
      <w:r>
        <w:t>областным законом</w:t>
      </w:r>
    </w:p>
    <w:p w:rsidR="009975A1" w:rsidRDefault="009975A1" w:rsidP="009975A1">
      <w:pPr>
        <w:pStyle w:val="ConsPlusNormal"/>
        <w:jc w:val="right"/>
      </w:pPr>
      <w:r>
        <w:t>от 04.12.2019 N 94-оз</w:t>
      </w:r>
    </w:p>
    <w:p w:rsidR="009975A1" w:rsidRDefault="009975A1" w:rsidP="009975A1">
      <w:pPr>
        <w:pStyle w:val="ConsPlusNormal"/>
        <w:jc w:val="right"/>
      </w:pPr>
      <w:r>
        <w:t>(приложение 3)</w:t>
      </w:r>
    </w:p>
    <w:p w:rsidR="009975A1" w:rsidRDefault="009975A1" w:rsidP="009975A1">
      <w:pPr>
        <w:pStyle w:val="ConsPlusNormal"/>
        <w:jc w:val="center"/>
      </w:pPr>
    </w:p>
    <w:p w:rsidR="009975A1" w:rsidRDefault="009975A1" w:rsidP="009975A1">
      <w:pPr>
        <w:pStyle w:val="ConsPlusTitle"/>
        <w:jc w:val="center"/>
      </w:pPr>
      <w:bookmarkStart w:id="0" w:name="P2099"/>
      <w:bookmarkEnd w:id="0"/>
      <w:r>
        <w:t>ПЕРЕЧЕНЬ И КОДЫ</w:t>
      </w:r>
    </w:p>
    <w:p w:rsidR="009975A1" w:rsidRDefault="009975A1" w:rsidP="009975A1">
      <w:pPr>
        <w:pStyle w:val="ConsPlusTitle"/>
        <w:jc w:val="center"/>
      </w:pPr>
      <w:r>
        <w:t>ФЕДЕРАЛЬНЫХ ОРГАНОВ ИСПОЛНИТЕЛЬНОЙ ВЛАСТИ -</w:t>
      </w:r>
    </w:p>
    <w:p w:rsidR="009975A1" w:rsidRDefault="009975A1" w:rsidP="009975A1">
      <w:pPr>
        <w:pStyle w:val="ConsPlusTitle"/>
        <w:jc w:val="center"/>
      </w:pPr>
      <w:r>
        <w:t>ГЛАВНЫХ АДМИНИСТРАТОРОВ ДОХОДОВ ОБЛАСТНОГО БЮДЖЕТА</w:t>
      </w:r>
    </w:p>
    <w:p w:rsidR="009975A1" w:rsidRDefault="009975A1" w:rsidP="009975A1">
      <w:pPr>
        <w:pStyle w:val="ConsPlusTitle"/>
        <w:jc w:val="center"/>
      </w:pPr>
      <w:r>
        <w:t>ЛЕНИНГРАДСКОЙ ОБЛАСТИ</w:t>
      </w:r>
    </w:p>
    <w:p w:rsidR="009975A1" w:rsidRDefault="009975A1" w:rsidP="009975A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2608"/>
        <w:gridCol w:w="4649"/>
      </w:tblGrid>
      <w:tr w:rsidR="009975A1" w:rsidTr="007D1B61">
        <w:tc>
          <w:tcPr>
            <w:tcW w:w="4412" w:type="dxa"/>
            <w:gridSpan w:val="2"/>
          </w:tcPr>
          <w:p w:rsidR="009975A1" w:rsidRDefault="009975A1" w:rsidP="007D1B6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649" w:type="dxa"/>
            <w:vMerge w:val="restart"/>
          </w:tcPr>
          <w:p w:rsidR="009975A1" w:rsidRDefault="009975A1" w:rsidP="007D1B61">
            <w:pPr>
              <w:pStyle w:val="ConsPlusNormal"/>
              <w:jc w:val="center"/>
            </w:pPr>
            <w:r>
              <w:t>Наименование главного администратора доходов областного бюджета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доходов областного бюджета</w:t>
            </w:r>
          </w:p>
        </w:tc>
        <w:tc>
          <w:tcPr>
            <w:tcW w:w="4649" w:type="dxa"/>
            <w:vMerge/>
          </w:tcPr>
          <w:p w:rsidR="009975A1" w:rsidRDefault="009975A1" w:rsidP="007D1B61"/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3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t>048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Федеральная служба по надзору в сфере природопользования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1 12 01010 01 0000 120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1 12 01030 01 0000 120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1 12 01041 01 0000 120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048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1 12 01042 01 0000 120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Плата за размещение </w:t>
            </w:r>
            <w:proofErr w:type="spellStart"/>
            <w:r>
              <w:t>твердых</w:t>
            </w:r>
            <w:proofErr w:type="spellEnd"/>
            <w:r>
              <w:t xml:space="preserve"> коммунальных отходов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t>053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proofErr w:type="gramStart"/>
            <w:r>
              <w:t>Федеральное</w:t>
            </w:r>
            <w:proofErr w:type="gramEnd"/>
            <w:r>
              <w:t xml:space="preserve"> агентство лесного хозяйства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Федеральное казначейство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1 03 02142 01 0000 110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Доходы от уплаты акцизов на алкогольную продукцию с </w:t>
            </w:r>
            <w:proofErr w:type="spellStart"/>
            <w:r>
              <w:t>объемной</w:t>
            </w:r>
            <w:proofErr w:type="spellEnd"/>
            <w:r>
              <w:t xml:space="preserve">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      </w:r>
            <w:proofErr w:type="spellStart"/>
            <w:r>
              <w:t>произведенного</w:t>
            </w:r>
            <w:proofErr w:type="spellEnd"/>
            <w:r>
              <w:t xml:space="preserve"> из пищевого сырья, </w:t>
            </w:r>
            <w:proofErr w:type="gramStart"/>
            <w:r>
              <w:t>и(</w:t>
            </w:r>
            <w:proofErr w:type="gramEnd"/>
            <w:r>
              <w:t xml:space="preserve">или) спиртованных виноградного или иного фруктового сусла, и(или) винного дистиллята, и(или) фруктового дистиллята), подлежащие распределению в бюджеты субъектов Российской Федерации (в </w:t>
            </w:r>
            <w:proofErr w:type="gramStart"/>
            <w:r>
              <w:t>порядке</w:t>
            </w:r>
            <w:proofErr w:type="gramEnd"/>
            <w:r>
              <w:t>, установленном Министерством финансов Российской Федерации)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1 03 02143 01 0000 110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Доходы от уплаты акцизов на алкогольную </w:t>
            </w:r>
            <w:r>
              <w:lastRenderedPageBreak/>
              <w:t xml:space="preserve">продукцию с </w:t>
            </w:r>
            <w:proofErr w:type="spellStart"/>
            <w:r>
              <w:t>объемной</w:t>
            </w:r>
            <w:proofErr w:type="spellEnd"/>
            <w:r>
              <w:t xml:space="preserve">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      </w:r>
            <w:proofErr w:type="spellStart"/>
            <w:r>
              <w:t>произведенного</w:t>
            </w:r>
            <w:proofErr w:type="spellEnd"/>
            <w:r>
              <w:t xml:space="preserve"> из пищевого сырья, </w:t>
            </w:r>
            <w:proofErr w:type="gramStart"/>
            <w:r>
              <w:t>и(</w:t>
            </w:r>
            <w:proofErr w:type="gramEnd"/>
            <w:r>
              <w:t xml:space="preserve">или) спиртованных виноградного или иного фруктового сусла, и(или) винного дистиллята, и(или) фруктового дистиллята), подлежащие распределению в бюджеты субъектов Российской Федерации (по нормативам, установленным Федеральным законом о федеральном бюджете в целях </w:t>
            </w:r>
            <w:proofErr w:type="gramStart"/>
            <w:r>
              <w:t>компенсации снижения доходов бюджетов субъектов Российской Федерации</w:t>
            </w:r>
            <w:proofErr w:type="gramEnd"/>
            <w:r>
              <w:t xml:space="preserve"> в связи с исключением движимого имущества из объектов налогообложения по налогу на имущество организаций)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1 03 02190 01 0000 110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этиловый спирт из пищевого или непищевого сырья (за исключением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1 03 02200 01 0000 110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этиловый спирт из пищевого сырья (дистилляты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1 03 02210 01 0000 110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Доходы от уплаты акцизов на спиртосодержащую продукцию, производимую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1 03 02220 01 0000 110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proofErr w:type="gramStart"/>
            <w:r>
              <w:t>Доходы от уплаты акцизов на этиловый спирт из непищевого сырья,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(по нормативам, установленным федеральным законом о федеральном бюджете)</w:t>
            </w:r>
            <w:proofErr w:type="gramEnd"/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1 03 02231 01 0000 110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spellStart"/>
            <w:r>
              <w:t>учетом</w:t>
            </w:r>
            <w:proofErr w:type="spellEnd"/>
            <w: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1 03 02232 01 0000 110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spellStart"/>
            <w:r>
              <w:t>учетом</w:t>
            </w:r>
            <w:proofErr w:type="spellEnd"/>
            <w: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1 03 02241 01 0000 110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</w:t>
            </w:r>
            <w:proofErr w:type="gramStart"/>
            <w:r>
              <w:t>и(</w:t>
            </w:r>
            <w:proofErr w:type="gramEnd"/>
            <w:r>
              <w:t>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spellStart"/>
            <w:r>
              <w:t>учетом</w:t>
            </w:r>
            <w:proofErr w:type="spellEnd"/>
            <w: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1 03 02242 01 0000 110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</w:t>
            </w:r>
            <w:proofErr w:type="gramStart"/>
            <w:r>
              <w:t>и(</w:t>
            </w:r>
            <w:proofErr w:type="gramEnd"/>
            <w:r>
              <w:t>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spellStart"/>
            <w:r>
              <w:t>учетом</w:t>
            </w:r>
            <w:proofErr w:type="spellEnd"/>
            <w:r>
              <w:t xml:space="preserve"> установленных дифференцированных нормативов отчислений в местные бюджеты (по нормативам, </w:t>
            </w:r>
            <w:r>
              <w:lastRenderedPageBreak/>
              <w:t>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1 03 02251 01 0000 110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>
              <w:t>учетом</w:t>
            </w:r>
            <w:proofErr w:type="spellEnd"/>
            <w: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1 03 02252 01 0000 110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>
              <w:t>учетом</w:t>
            </w:r>
            <w:proofErr w:type="spellEnd"/>
            <w: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1 03 02261 01 0000 110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>
              <w:t>учетом</w:t>
            </w:r>
            <w:proofErr w:type="spellEnd"/>
            <w: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1 03 02262 01 0000 110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>
              <w:t>учетом</w:t>
            </w:r>
            <w:proofErr w:type="spellEnd"/>
            <w:r>
              <w:t xml:space="preserve">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t>106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Федеральная служба по надзору в сфере транспорта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lastRenderedPageBreak/>
              <w:t>141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Федеральная служба по надзору в сфере защиты прав потребителей и благополучия человека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t>157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Федеральная служба государственной статистики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t>177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t>180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Федеральная служба войск национальной гвардии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Федеральная налоговая служба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1 01 01012 02 0000 110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1 01 01014 02 0000 110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1 01 02010 01 0000 110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7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1 01 02020 01 0000 110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proofErr w:type="spellStart"/>
              <w:r>
                <w:rPr>
                  <w:color w:val="0000FF"/>
                </w:rPr>
                <w:t>статьей</w:t>
              </w:r>
              <w:proofErr w:type="spellEnd"/>
              <w:r>
                <w:rPr>
                  <w:color w:val="0000FF"/>
                </w:rPr>
                <w:t xml:space="preserve"> 227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1 01 02030 01 0000 110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proofErr w:type="spellStart"/>
              <w:r>
                <w:rPr>
                  <w:color w:val="0000FF"/>
                </w:rPr>
                <w:t>статьей</w:t>
              </w:r>
              <w:proofErr w:type="spellEnd"/>
              <w:r>
                <w:rPr>
                  <w:color w:val="0000FF"/>
                </w:rPr>
                <w:t xml:space="preserve">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1 01 02040 01 0000 110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</w:t>
            </w:r>
            <w:r>
              <w:lastRenderedPageBreak/>
              <w:t xml:space="preserve">найму на основании патента в соответствии со </w:t>
            </w:r>
            <w:hyperlink r:id="rId10" w:history="1">
              <w:proofErr w:type="spellStart"/>
              <w:r>
                <w:rPr>
                  <w:color w:val="0000FF"/>
                </w:rPr>
                <w:t>статьей</w:t>
              </w:r>
              <w:proofErr w:type="spellEnd"/>
              <w:r>
                <w:rPr>
                  <w:color w:val="0000FF"/>
                </w:rPr>
                <w:t xml:space="preserve"> 227.1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1 01 02050 01 0000 110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1 03 02011 01 0000 110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Акцизы на этиловый спирт из пищевого или непищевого сырья (за исключением дистиллятов винного, виноградного, плодового, коньячного, </w:t>
            </w:r>
            <w:proofErr w:type="spellStart"/>
            <w:r>
              <w:t>кальвадосного</w:t>
            </w:r>
            <w:proofErr w:type="spellEnd"/>
            <w:r>
              <w:t xml:space="preserve">, </w:t>
            </w:r>
            <w:proofErr w:type="spellStart"/>
            <w:r>
              <w:t>вискового</w:t>
            </w:r>
            <w:proofErr w:type="spellEnd"/>
            <w:r>
              <w:t>), производимый на территории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1 03 02020 01 0000 110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Акцизы на спиртосодержащую продукцию, производимую на территории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1 03 02090 01 0000 110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</w:t>
            </w:r>
            <w:proofErr w:type="spellStart"/>
            <w:r>
              <w:t>произведенного</w:t>
            </w:r>
            <w:proofErr w:type="spellEnd"/>
            <w:r>
              <w:t xml:space="preserve"> из пищевого сырья, </w:t>
            </w:r>
            <w:proofErr w:type="gramStart"/>
            <w:r>
              <w:t>и(</w:t>
            </w:r>
            <w:proofErr w:type="gramEnd"/>
            <w:r>
              <w:t>или) спиртованных виноградного или иного фруктового сусла, и(или) винного дистиллята, и(или) фруктового дистиллята, производимые на территории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1 03 02100 01 0000 110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Акцизы на пиво, производимое на территории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1 03 02120 01 0000 110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Акцизы на сидр, </w:t>
            </w:r>
            <w:proofErr w:type="spellStart"/>
            <w:r>
              <w:t>пуаре</w:t>
            </w:r>
            <w:proofErr w:type="spellEnd"/>
            <w:r>
              <w:t>, медовуху, производимые на территории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1 03 02330 01 0000 110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Акцизы на средние дистилляты, производимые на территории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1 05 01012 01 0000 110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1 05 01022 01 0000 110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1 05 01030 01 0000 110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Минимальный налог, зачисляемый в бюджеты государственных внебюджетных фондов (уплаченный (взысканный) за налоговые </w:t>
            </w:r>
            <w:r>
              <w:lastRenderedPageBreak/>
              <w:t>периоды, истекшие до 1 января 2011 года)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1 05 02020 02 0000 110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Единый налог на </w:t>
            </w:r>
            <w:proofErr w:type="spellStart"/>
            <w:r>
              <w:t>вмененный</w:t>
            </w:r>
            <w:proofErr w:type="spellEnd"/>
            <w:r>
              <w:t xml:space="preserve"> доход для отдельных видов деятельности (за налоговые периоды, истекшие до 1 января 2011 года)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1 05 03020 01 0000 110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1 06 02010 02 0000 110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1 06 02020 02 0000 110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Налог на имущество организаций по имуществу, входящему в Единую систему газоснабжения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1 06 04011 02 0000 110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1 06 04012 02 0000 110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Транспортный налог с физических лиц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1 06 05000 02 0000 110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Налог на игорный бизнес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1 07 01020 01 0000 110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Налог на добычу </w:t>
            </w:r>
            <w:proofErr w:type="spellStart"/>
            <w:r>
              <w:t>общераспространенных</w:t>
            </w:r>
            <w:proofErr w:type="spellEnd"/>
            <w:r>
              <w:t xml:space="preserve"> полезных ископаемых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1 07 01030 01 0000 110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1 07 04010 01 0000 110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Сбор за пользование объектами животного мира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1 07 04020 01 0000 110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Сбор за пользование объектами водных биологических ресурсов (исключая внутренние водные объекты)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1 07 04030 01 0000 110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Сбор за пользование объектами водных биологических ресурсов (по внутренним водным объектам)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1 08 07310 01 0000 110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Государственная пошлина за повторную выдачу свидетельства о постановке на </w:t>
            </w:r>
            <w:proofErr w:type="spellStart"/>
            <w:r>
              <w:t>учет</w:t>
            </w:r>
            <w:proofErr w:type="spellEnd"/>
            <w:r>
              <w:t xml:space="preserve"> в налоговом органе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1 09 03082 02 0000 110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proofErr w:type="gramStart"/>
            <w:r>
              <w:t>Отчисления на воспроизводство минерально-</w:t>
            </w:r>
            <w:r>
              <w:lastRenderedPageBreak/>
              <w:t xml:space="preserve">сырьевой базы, зачисляемые в бюджеты субъектов Российской Федерации, за исключением уплачиваемых при добыче </w:t>
            </w:r>
            <w:proofErr w:type="spellStart"/>
            <w:r>
              <w:t>общераспространенных</w:t>
            </w:r>
            <w:proofErr w:type="spellEnd"/>
            <w:r>
              <w:t xml:space="preserve"> полезных ископаемых и подземных вод, используемых для местных нужд</w:t>
            </w:r>
            <w:proofErr w:type="gramEnd"/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1 09 03083 02 0000 110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 при добыче </w:t>
            </w:r>
            <w:proofErr w:type="spellStart"/>
            <w:r>
              <w:t>общераспространенных</w:t>
            </w:r>
            <w:proofErr w:type="spellEnd"/>
            <w:r>
              <w:t xml:space="preserve">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1 09 04010 02 0000 110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Налог на имущество предприятий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1 09 06041 02 0000 110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1 09 11010 02 0000 110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Налог, взимаемый в виде стоимости патента в связи с применением </w:t>
            </w:r>
            <w:proofErr w:type="spellStart"/>
            <w:r>
              <w:t>упрощенной</w:t>
            </w:r>
            <w:proofErr w:type="spellEnd"/>
            <w:r>
              <w:t xml:space="preserve"> системы налогообложения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1 09 11020 02 0000 110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Налоги, взимаемые в виде стоимости патента в связи с применением </w:t>
            </w:r>
            <w:proofErr w:type="spellStart"/>
            <w:r>
              <w:t>упрощенной</w:t>
            </w:r>
            <w:proofErr w:type="spellEnd"/>
            <w:r>
              <w:t xml:space="preserve"> системы налогообложения (за налоговые периоды, истекшие до 1 января 2011 года)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1 12 02030 01 0000 120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Регулярные платежи за пользование недрами при пользовании недрами на территории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1 13 01020 01 0000 130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1 13 01190 01 0000 130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Плата за предоставление информации из реестра дисквалифицированных лиц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t>187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Министерство обороны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t>188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Министерство внутренних дел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1 08 06000 01 0000 110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lastRenderedPageBreak/>
              <w:t>188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1 08 07010 01 0000 110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1 08 07141 01 0000 110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t>318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Министерство юстиции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1 08 07020 01 0000 110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1 08 07110 01 0000 110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1 13 01031 01 0000 130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Плата за предоставление сведений из Единого государственного реестра недвижимости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t>321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Федеральная служба государственной регистрации, кадастра и картографии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1 08 07020 01 0000 110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1 13 01031 01 0000 130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Плата за предоставление сведений из Единого государственного реестра недвижимости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  <w:outlineLvl w:val="1"/>
            </w:pPr>
            <w:r>
              <w:t>415</w:t>
            </w: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Генеральная прокуратура Российской Федерации</w:t>
            </w:r>
          </w:p>
        </w:tc>
      </w:tr>
      <w:tr w:rsidR="009975A1" w:rsidTr="007D1B61">
        <w:tc>
          <w:tcPr>
            <w:tcW w:w="9061" w:type="dxa"/>
            <w:gridSpan w:val="3"/>
          </w:tcPr>
          <w:p w:rsidR="009975A1" w:rsidRDefault="009975A1" w:rsidP="007D1B61">
            <w:pPr>
              <w:pStyle w:val="ConsPlusNormal"/>
              <w:jc w:val="both"/>
              <w:outlineLvl w:val="1"/>
            </w:pPr>
            <w:r>
              <w:t>Иные доходы областного бюджета, администрирование которых может осуществляться главными администраторами доходов областного бюджета в пределах их компетенции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1 13 01072 02 0000 130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Доходы от оказания информационных услуг государственными органами субъектов Российской Федерации, </w:t>
            </w:r>
            <w:proofErr w:type="spellStart"/>
            <w:r>
              <w:t>казенными</w:t>
            </w:r>
            <w:proofErr w:type="spellEnd"/>
            <w:r>
              <w:t xml:space="preserve"> учреждениями субъектов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1 13 01410 01 0000 130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Плата за предоставление государственными органами субъектов Российской Федерации, </w:t>
            </w:r>
            <w:proofErr w:type="spellStart"/>
            <w:r>
              <w:t>казенными</w:t>
            </w:r>
            <w:proofErr w:type="spellEnd"/>
            <w:r>
              <w:t xml:space="preserve">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1 13 01992 02 0000 130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1 13 02992 02 0000 130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Прочие доходы от компенсации затрат бюджетов субъектов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1 16 01072 01 0000 140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1 16 01082 01 0000 140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1 16 01111 01 0000 140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3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1 16 01121 01 0000 140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4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1 16 01142 01 0000 140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1 16 01152 01 0000 140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proofErr w:type="gramStart"/>
            <w:r>
              <w:t xml:space="preserve">Административные штрафы, установленные </w:t>
            </w:r>
            <w:hyperlink r:id="rId1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1 16 07040 02 0000 140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(</w:t>
            </w:r>
            <w:proofErr w:type="spellStart"/>
            <w:r>
              <w:t>казенным</w:t>
            </w:r>
            <w:proofErr w:type="spellEnd"/>
            <w:r>
              <w:t xml:space="preserve"> учреждением субъекта Российской Федерации)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1 16 07090 02 0000 140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</w:t>
            </w:r>
            <w:proofErr w:type="spellStart"/>
            <w:r>
              <w:t>казенным</w:t>
            </w:r>
            <w:proofErr w:type="spellEnd"/>
            <w:r>
              <w:t xml:space="preserve"> учреждением субъекта Российской Федерации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1 16 10022 02 0000 140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Прочее возмещение ущерба, </w:t>
            </w:r>
            <w:proofErr w:type="spellStart"/>
            <w:r>
              <w:t>причиненного</w:t>
            </w:r>
            <w:proofErr w:type="spellEnd"/>
            <w:r>
              <w:t xml:space="preserve"> имуществу, находящемуся в собственности субъекта Российской Федерации (за исключением имущества, </w:t>
            </w:r>
            <w:proofErr w:type="spellStart"/>
            <w:r>
              <w:t>закрепленного</w:t>
            </w:r>
            <w:proofErr w:type="spellEnd"/>
            <w:r>
              <w:t xml:space="preserve"> за бюджетными (автономными) учреждениями, унитарными предприятиями субъекта Российской Федерации)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1 16 10057 02 0000 140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</w:t>
            </w:r>
            <w:proofErr w:type="spellStart"/>
            <w:r>
              <w:t>причиненных</w:t>
            </w:r>
            <w:proofErr w:type="spellEnd"/>
            <w:r>
              <w:t xml:space="preserve"> уклонением от заключения с государственным органом субъекта Российской Федерации (</w:t>
            </w:r>
            <w:proofErr w:type="spellStart"/>
            <w:r>
              <w:t>казенным</w:t>
            </w:r>
            <w:proofErr w:type="spellEnd"/>
            <w:r>
              <w:t xml:space="preserve"> учреждением субъекта Российской Федерации) государственного контракта, финансируемого за </w:t>
            </w:r>
            <w:proofErr w:type="spellStart"/>
            <w:r>
              <w:t>счет</w:t>
            </w:r>
            <w:proofErr w:type="spellEnd"/>
            <w:r>
              <w:t xml:space="preserve"> средств дорожного фонда субъекта Российской Федерации,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</w:t>
            </w:r>
            <w:proofErr w:type="gramEnd"/>
            <w:r>
              <w:t xml:space="preserve"> и муниципальных нужд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1 16 10077 02 0000 140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государственного контракта, финансируемого за </w:t>
            </w:r>
            <w:proofErr w:type="spellStart"/>
            <w:r>
              <w:t>счет</w:t>
            </w:r>
            <w:proofErr w:type="spellEnd"/>
            <w:r>
              <w:t xml:space="preserve"> средств дорожного фонда субъекта Российской Федерации, в связи с односторонним отказом исполнителя (подрядчика) от его исполнения</w:t>
            </w:r>
          </w:p>
        </w:tc>
      </w:tr>
      <w:tr w:rsidR="009975A1" w:rsidTr="007D1B61">
        <w:tc>
          <w:tcPr>
            <w:tcW w:w="1804" w:type="dxa"/>
          </w:tcPr>
          <w:p w:rsidR="009975A1" w:rsidRDefault="009975A1" w:rsidP="007D1B61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9975A1" w:rsidRDefault="009975A1" w:rsidP="007D1B61">
            <w:pPr>
              <w:pStyle w:val="ConsPlusNormal"/>
              <w:jc w:val="center"/>
            </w:pPr>
            <w:r>
              <w:t>1 16 11063 01 0000 140</w:t>
            </w:r>
          </w:p>
        </w:tc>
        <w:tc>
          <w:tcPr>
            <w:tcW w:w="4649" w:type="dxa"/>
          </w:tcPr>
          <w:p w:rsidR="009975A1" w:rsidRDefault="009975A1" w:rsidP="007D1B61">
            <w:pPr>
              <w:pStyle w:val="ConsPlusNormal"/>
              <w:jc w:val="both"/>
            </w:pPr>
            <w:r>
              <w:t xml:space="preserve"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</w:t>
            </w:r>
            <w:proofErr w:type="gramStart"/>
            <w:r>
              <w:t>и(</w:t>
            </w:r>
            <w:proofErr w:type="gramEnd"/>
            <w:r>
              <w:t>или) крупногабаритных грузов</w:t>
            </w:r>
          </w:p>
        </w:tc>
      </w:tr>
    </w:tbl>
    <w:p w:rsidR="009975A1" w:rsidRDefault="009975A1" w:rsidP="009975A1">
      <w:pPr>
        <w:pStyle w:val="ConsPlusNormal"/>
        <w:ind w:firstLine="540"/>
        <w:jc w:val="both"/>
      </w:pPr>
    </w:p>
    <w:p w:rsidR="00057F9B" w:rsidRDefault="00057F9B">
      <w:bookmarkStart w:id="1" w:name="_GoBack"/>
      <w:bookmarkEnd w:id="1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A1"/>
    <w:rsid w:val="00057F9B"/>
    <w:rsid w:val="0099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C76A7AEC0E743827D3D9C35E4B3FC1CD78ED8825CE4A5B14F8A59909A2073C2C6CB08AB8243CDB0F300F0238D705D0E2E52A46A63q6J7G" TargetMode="External"/><Relationship Id="rId13" Type="http://schemas.openxmlformats.org/officeDocument/2006/relationships/hyperlink" Target="consultantplus://offline/ref=BD7C76A7AEC0E743827D3D9C35E4B3FC1CD78ED9805DE4A5B14F8A59909A2073C2C6CB0AAB834DC3EDA910F46ADA7E410C314DA77463670Bq0J0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7C76A7AEC0E743827D3D9C35E4B3FC1CD78ED8825CE4A5B14F8A59909A2073C2C6CB0AAB824ECFE5A910F46ADA7E410C314DA77463670Bq0J0G" TargetMode="External"/><Relationship Id="rId12" Type="http://schemas.openxmlformats.org/officeDocument/2006/relationships/hyperlink" Target="consultantplus://offline/ref=BD7C76A7AEC0E743827D3D9C35E4B3FC1CD78ED9805DE4A5B14F8A59909A2073C2C6CB0AAB8749C2E4A910F46ADA7E410C314DA77463670Bq0J0G" TargetMode="External"/><Relationship Id="rId17" Type="http://schemas.openxmlformats.org/officeDocument/2006/relationships/hyperlink" Target="consultantplus://offline/ref=BD7C76A7AEC0E743827D3D9C35E4B3FC1CD78ED98155E4A5B14F8A59909A2073C2C6CB0FAC8242CDB0F300F0238D705D0E2E52A46A63q6J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7C76A7AEC0E743827D3D9C35E4B3FC1CD78ED9805DE4A5B14F8A59909A2073C2C6CB0AAF854BCDB0F300F0238D705D0E2E52A46A63q6J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C76A7AEC0E743827D3D9C35E4B3FC1CD78ED8825CE4A5B14F8A59909A2073C2C6CB0AAB8B4DC1EFF615E17B827140112E4DB8686165q0J9G" TargetMode="External"/><Relationship Id="rId11" Type="http://schemas.openxmlformats.org/officeDocument/2006/relationships/hyperlink" Target="consultantplus://offline/ref=BD7C76A7AEC0E743827D3D9C35E4B3FC1CD78ED9805DE4A5B14F8A59909A2073C2C6CB0AAB8349C1E2A910F46ADA7E410C314DA77463670Bq0J0G" TargetMode="External"/><Relationship Id="rId5" Type="http://schemas.openxmlformats.org/officeDocument/2006/relationships/hyperlink" Target="consultantplus://offline/ref=BD7C76A7AEC0E743827D3D9C35E4B3FC1CD78ED8825CE4A5B14F8A59909A2073C2C6CB08AB8243CDB0F300F0238D705D0E2E52A46A63q6J7G" TargetMode="External"/><Relationship Id="rId15" Type="http://schemas.openxmlformats.org/officeDocument/2006/relationships/hyperlink" Target="consultantplus://offline/ref=BD7C76A7AEC0E743827D3D9C35E4B3FC1CD78ED9805DE4A5B14F8A59909A2073C2C6CB0EA98A43CDB0F300F0238D705D0E2E52A46A63q6J7G" TargetMode="External"/><Relationship Id="rId10" Type="http://schemas.openxmlformats.org/officeDocument/2006/relationships/hyperlink" Target="consultantplus://offline/ref=BD7C76A7AEC0E743827D3D9C35E4B3FC1CD78ED8825CE4A5B14F8A59909A2073C2C6CB0AAB8B4DC1EFF615E17B827140112E4DB8686165q0J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7C76A7AEC0E743827D3D9C35E4B3FC1CD78ED8825CE4A5B14F8A59909A2073C2C6CB0AAB824ECFE5A910F46ADA7E410C314DA77463670Bq0J0G" TargetMode="External"/><Relationship Id="rId14" Type="http://schemas.openxmlformats.org/officeDocument/2006/relationships/hyperlink" Target="consultantplus://offline/ref=BD7C76A7AEC0E743827D3D9C35E4B3FC1CD78ED9805DE4A5B14F8A59909A2073C2C6CB0AAB8343C7E1A910F46ADA7E410C314DA77463670Bq0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2020-11-24T13:57:00Z</dcterms:created>
  <dcterms:modified xsi:type="dcterms:W3CDTF">2020-11-24T14:01:00Z</dcterms:modified>
</cp:coreProperties>
</file>